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检索日期：2026-06-17 | GitHub Actions 自动生成</w:t>
      </w:r>
    </w:p>
    <w:p>
      <w:pPr>
        <w:pStyle w:val="Heading1"/>
      </w:pPr>
      <w:r>
        <w:t>今日总览</w:t>
      </w:r>
    </w:p>
    <w:p>
      <w:r>
        <w:rPr>
          <w:rFonts w:ascii="Microsoft YaHei" w:hAnsi="Microsoft YaHei" w:eastAsia="Microsoft YaHei"/>
        </w:rPr>
        <w:t>历史去重后今日新增 5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 global re-assessment of surface bio-optical properties in Case 1 waters using Biogeochemical-Argo profiles</w:t>
      </w:r>
    </w:p>
    <w:p>
      <w:r>
        <w:rPr>
          <w:rFonts w:ascii="Microsoft YaHei" w:hAnsi="Microsoft YaHei" w:eastAsia="Microsoft YaHei"/>
          <w:color w:val="55697D"/>
          <w:sz w:val="18"/>
        </w:rPr>
        <w:t>作者：Mengyu Li; Giovanni La Forgia; Emanuele Organelli</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DOI：10.3389/fmars.2026.1822929</w:t>
      </w:r>
    </w:p>
    <w:p>
      <w:r>
        <w:rPr>
          <w:rFonts w:ascii="Microsoft YaHei" w:hAnsi="Microsoft YaHei" w:eastAsia="Microsoft YaHei"/>
          <w:b/>
          <w:sz w:val="19"/>
        </w:rPr>
        <w:t>关键词：BGC-Argo; phytoplankton; ocean colour; bio-optics</w:t>
      </w:r>
    </w:p>
    <w:p>
      <w:r>
        <w:rPr>
          <w:rFonts w:ascii="Microsoft YaHei" w:hAnsi="Microsoft YaHei" w:eastAsia="Microsoft YaHei"/>
          <w:sz w:val="17"/>
        </w:rPr>
        <w:t>摘要：将叶绿素a浓度与光衰减和透光深度联系起来的表面生物光学关系被广泛应用于公海的海洋颜色应用中，但它们的全球性能仍然很少受到现有观测框架的限制。为了解决这一限制，我们根据案例 1 水域中配备多光谱辐射传感器和叶绿素 a 荧光计的生物地球化学-Argo (BGC-Argo) 浮标的全球分布数据集，对常用的表面生物光学关系进行了重新评估。我们表明，上 5 m 的平均表面叶绿素-a 浓度为各种辐射条件下第一光学深度内的叶绿素-a 提供了可靠的代理，支持其用作生物光学应用的一致表面变量。在此结果的基础上，评估了将表面叶绿素-a 与漫反射系数和透光深度联系起来的经验关系，发现其与已建立的全球经验模型大体一致，同时显示出案例 1 光学体系之间的明显差异。尽管全局改装模型解释了大部分总变异性，但系统偏差揭示了案例 1 水域内给定全局参数化的可转移性有限。事实上，特定于水类的参数化可以减少偏差，突出了在估计表面叶绿素-a 的光衰减和透光深度时考虑生物光学状态依赖性的重要性。这些结果为常用的表面生物光学模型提供了全球一致的、基于辐射测量的基准，并支持扩展的 BGC-Argo 阵列的进一步应用。</w:t>
      </w:r>
    </w:p>
    <w:p>
      <w:r>
        <w:rPr>
          <w:rFonts w:ascii="Microsoft YaHei" w:hAnsi="Microsoft YaHei" w:eastAsia="Microsoft YaHei"/>
          <w:color w:val="0563C1"/>
          <w:sz w:val="18"/>
        </w:rPr>
        <w:t>链接：https://doi.org/10.3389/fmars.2026.1822929</w:t>
      </w:r>
    </w:p>
    <w:p>
      <w:pPr>
        <w:pStyle w:val="Heading2"/>
      </w:pPr>
      <w:r>
        <w:t>重点关注团队</w:t>
      </w:r>
    </w:p>
    <w:p>
      <w:pPr>
        <w:pStyle w:val="Heading3"/>
      </w:pPr>
      <w:r>
        <w:rPr>
          <w:rFonts w:ascii="Microsoft YaHei" w:hAnsi="Microsoft YaHei" w:eastAsia="Microsoft YaHei"/>
          <w:b/>
        </w:rPr>
        <w:t>2. Warm Current Intensification Altered Phytoplankton Communities in the Yellow Sea: Insights from Sedimentary Ancient DNA Metabarcoding</w:t>
      </w:r>
    </w:p>
    <w:p>
      <w:r>
        <w:rPr>
          <w:rFonts w:ascii="Microsoft YaHei" w:hAnsi="Microsoft YaHei" w:eastAsia="Microsoft YaHei"/>
          <w:color w:val="55697D"/>
          <w:sz w:val="18"/>
        </w:rPr>
        <w:t>作者：Haoyuan Zhang; Yaping Wang; Huiwen Deng; Linxuan Li; Dongyan Liu; Meixun Zhao; Jun Gong</w:t>
      </w:r>
    </w:p>
    <w:p>
      <w:r>
        <w:rPr>
          <w:rFonts w:ascii="Microsoft YaHei" w:hAnsi="Microsoft YaHei" w:eastAsia="Microsoft YaHei"/>
          <w:color w:val="55697D"/>
          <w:sz w:val="18"/>
        </w:rPr>
        <w:t>期刊：ISME Communications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DOI：10.1093/ismeco/ycag172</w:t>
      </w:r>
    </w:p>
    <w:p>
      <w:r>
        <w:rPr>
          <w:rFonts w:ascii="Microsoft YaHei" w:hAnsi="Microsoft YaHei" w:eastAsia="Microsoft YaHei"/>
          <w:b/>
          <w:sz w:val="19"/>
        </w:rPr>
        <w:t>关键词：phytoplankton</w:t>
      </w:r>
    </w:p>
    <w:p>
      <w:r>
        <w:rPr>
          <w:rFonts w:ascii="Microsoft YaHei" w:hAnsi="Microsoft YaHei" w:eastAsia="Microsoft YaHei"/>
          <w:sz w:val="17"/>
        </w:rPr>
        <w:t>摘要：浮游植物群落的长期变化是理解和预测生态系统对气候驱动的环流变化的反应的关键。通过分析黄海两个沉积岩芯的沉积古DNA，我们重建了黄海暖流（YSWC）增强期间全新世中晚期浮游植物的动态。我们发现浮游植物群落在不同地点之间存在显着差异，真核生物的空间分化比蓝细菌更强。甲藻和叶绿藻总体上占主导地位，而网藻纲（硅鞭藻）相对于硅藻则出乎意料地丰富。系统发育重建恢复了以拟藻属为主的不同网藻纲谱系（2目，6属），表明区域多样性比之前认识的要大。蓝藻组合包括 SIO2C1、UCYN-A 和 PCC-6307 谱系。随着约 3 ka BP 以来 YSWC 的加强，真核生物群落结构在中央盆地发生了变化。 18S rRNA 基因丰度增加，而多样性和硅化物与甲藻的比率下降。尽管岩心 B07 的绝对年龄仍处于暂定状态，但在 100 cmbsf 左右的锋区发生了明显的地层更替，从叶绿素主导转向甲藻主导，这与淡水影响的减少和 YSWC 影响的增强相一致。许多指示物种在这些转变之前和之后表现出对比鲜明的丰度模式。这些发现证明了沿海浮游植物对环流驱动的状况变化的敏感性。</w:t>
      </w:r>
    </w:p>
    <w:p>
      <w:r>
        <w:rPr>
          <w:rFonts w:ascii="Microsoft YaHei" w:hAnsi="Microsoft YaHei" w:eastAsia="Microsoft YaHei"/>
          <w:color w:val="0563C1"/>
          <w:sz w:val="18"/>
        </w:rPr>
        <w:t>链接：https://doi.org/10.1093/ismeco/ycag172</w:t>
      </w:r>
    </w:p>
    <w:p>
      <w:pPr>
        <w:pStyle w:val="Heading3"/>
      </w:pPr>
      <w:r>
        <w:rPr>
          <w:rFonts w:ascii="Microsoft YaHei" w:hAnsi="Microsoft YaHei" w:eastAsia="Microsoft YaHei"/>
          <w:b/>
        </w:rPr>
        <w:t>3. The Fracability Evaluation of Deep Coal Reservoirs in the Ordos Basin Based on Well Logging and Rock Mechanics Experiments</w:t>
      </w:r>
    </w:p>
    <w:p>
      <w:r>
        <w:rPr>
          <w:rFonts w:ascii="Microsoft YaHei" w:hAnsi="Microsoft YaHei" w:eastAsia="Microsoft YaHei"/>
          <w:color w:val="55697D"/>
          <w:sz w:val="18"/>
        </w:rPr>
        <w:t>作者：Guoxiao Zhou; Zheng Zhang; Yanqing Wang; Wenguang Tian; Ze Deng; Hao Chen; Xianlin Wu; Jian Shen</w:t>
      </w:r>
    </w:p>
    <w:p>
      <w:r>
        <w:rPr>
          <w:rFonts w:ascii="Microsoft YaHei" w:hAnsi="Microsoft YaHei" w:eastAsia="Microsoft YaHei"/>
          <w:color w:val="55697D"/>
          <w:sz w:val="18"/>
        </w:rPr>
        <w:t>期刊：Applied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DOI：10.3390/app16126084</w:t>
      </w:r>
    </w:p>
    <w:p>
      <w:r>
        <w:rPr>
          <w:rFonts w:ascii="Microsoft YaHei" w:hAnsi="Microsoft YaHei" w:eastAsia="Microsoft YaHei"/>
          <w:b/>
          <w:sz w:val="19"/>
        </w:rPr>
        <w:t>关键词：vertical structure</w:t>
      </w:r>
    </w:p>
    <w:p>
      <w:r>
        <w:rPr>
          <w:rFonts w:ascii="Microsoft YaHei" w:hAnsi="Microsoft YaHei" w:eastAsia="Microsoft YaHei"/>
          <w:sz w:val="17"/>
        </w:rPr>
        <w:t>摘要：鄂尔多斯盆地深层煤层气资源丰富，其高效开发很大程度上依赖于大规模体积压裂技术的有效实施。为综合评价该盆地深层煤储层可压裂性，以本溪组8号煤层为研究对象。基于岩石力学实验和测井数据，建立多元线性回归模型来预测杨氏模量（E）和泊松比（μ）。应用Huang模型确定了煤层的三个主地应力。此外，综合脆性指数（BI）、水平应力差（Δσh）和抗拉强度（St）三个关键指标，构建了综合可压裂性评价模型。采用熵值评价法确定各指标的权重，计算出深层煤储层的可压裂指数（F）。结果表明，控制可压裂性的因素权重依次递减：抗拉强度（0. 332）、水平应力差（0. 8），盆地南北地区煤层，包括大宁—蓟县、神府、郏县、榆林北部和延川南部地区，可压裂性相对较好，而柳林北部和榆林南部则可压裂性较差。此外，可压裂指数呈现明显的正相关关系。根据这种关系，将深层煤储层分为三类：Ⅰ类储层（F &gt; 0. 55），具有高可压裂性和高生产潜力； 55），具有中等可压裂性和中等生产潜力；和Ⅲ类水库（F</w:t>
      </w:r>
    </w:p>
    <w:p>
      <w:r>
        <w:rPr>
          <w:rFonts w:ascii="Microsoft YaHei" w:hAnsi="Microsoft YaHei" w:eastAsia="Microsoft YaHei"/>
          <w:color w:val="0563C1"/>
          <w:sz w:val="18"/>
        </w:rPr>
        <w:t>链接：https://doi.org/10.3390/app16126084</w:t>
      </w:r>
    </w:p>
    <w:p>
      <w:pPr>
        <w:pStyle w:val="Heading2"/>
      </w:pPr>
      <w:r>
        <w:t>其他相关期刊：按主题相关性补充</w:t>
      </w:r>
    </w:p>
    <w:p>
      <w:pPr>
        <w:pStyle w:val="Heading3"/>
      </w:pPr>
      <w:r>
        <w:rPr>
          <w:rFonts w:ascii="Microsoft YaHei" w:hAnsi="Microsoft YaHei" w:eastAsia="Microsoft YaHei"/>
          <w:b/>
        </w:rPr>
        <w:t>4. Marine Heatwave Trends in Eastern North America Waters Using a High‐Resolution (5‐km) SST Dataset</w:t>
      </w:r>
    </w:p>
    <w:p>
      <w:r>
        <w:rPr>
          <w:rFonts w:ascii="Microsoft YaHei" w:hAnsi="Microsoft YaHei" w:eastAsia="Microsoft YaHei"/>
          <w:color w:val="55697D"/>
          <w:sz w:val="18"/>
        </w:rPr>
        <w:t>作者：Samantha E. Stone; Shawn M. Milrad</w:t>
      </w:r>
    </w:p>
    <w:p>
      <w:r>
        <w:rPr>
          <w:rFonts w:ascii="Microsoft YaHei" w:hAnsi="Microsoft YaHei" w:eastAsia="Microsoft YaHei"/>
          <w:color w:val="55697D"/>
          <w:sz w:val="18"/>
        </w:rPr>
        <w:t>期刊：International Journal of Climatology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DOI：10.1002/joc.70474</w:t>
      </w:r>
    </w:p>
    <w:p>
      <w:r>
        <w:rPr>
          <w:rFonts w:ascii="Microsoft YaHei" w:hAnsi="Microsoft YaHei" w:eastAsia="Microsoft YaHei"/>
          <w:b/>
          <w:sz w:val="19"/>
        </w:rPr>
        <w:t>关键词：marine heatwaves</w:t>
      </w:r>
    </w:p>
    <w:p>
      <w:r>
        <w:rPr>
          <w:rFonts w:ascii="Microsoft YaHei" w:hAnsi="Microsoft YaHei" w:eastAsia="Microsoft YaHei"/>
          <w:sz w:val="17"/>
        </w:rPr>
        <w:t>摘要：海洋热浪 (MHW) 是持续的极端海面温度 (SST) 时期，其范围延伸很远，对海洋生态系统和经济产生巨大影响。本研究使用高分辨率（5公里）NOAA珊瑚礁观察（CRW）数据集研究了北美东部附近的亚热带和热带水域的海表温度和最高水温趋势（1985-2024年），该数据集可以阐明公海和较浅的沿海水域的趋势。结果显示，在所有暖季月份（5 月至 10 月），MHW 频率（每十年 &gt; 2. 0 天）和空间范围（自 1985 年以来扩大了 25%–45%）普遍大幅且具有统计意义的显着增加。大频率和持续时间趋势在 9 月和 10 月尤其普遍；强度趋势不太明显，但七月和八月佛罗里达州附近以及十月整个加勒比海地区的强度趋势很明显。虽然频率和持续时间趋势模式密切相关，但两者都不像强度趋势模式，尤其是在 10 月之前。应用现有的 MHW 强度等级来分析趋势，I 类（“中等”；气候日平均海表温度与每日第 90 个百分位数海表温度之间差异的一到两倍）MHW 的频率增加最为显着。然而，在过去十年中，II 类（‘强’；两到三倍的差异）和 III 类（‘严重’；三到四倍的差异）MHW 也变得更加常见。例如，2023-2024 年 II 类 MHW 的频率超过 2023 年之前除 1 年（2005 年）以外的 I 类频率。MHW 频率和强度受 ENSO 调节，峰值优先出现在厄尔尼诺事件（12 月至 3 月）之后的温暖季节。 总体而言，结果支持模型预测到 21 世纪末将出现近乎永久的暖季 MHW 状态。</w:t>
      </w:r>
    </w:p>
    <w:p>
      <w:r>
        <w:rPr>
          <w:rFonts w:ascii="Microsoft YaHei" w:hAnsi="Microsoft YaHei" w:eastAsia="Microsoft YaHei"/>
          <w:color w:val="0563C1"/>
          <w:sz w:val="18"/>
        </w:rPr>
        <w:t>链接：https://doi.org/10.1002/joc.70474</w:t>
      </w:r>
    </w:p>
    <w:p>
      <w:pPr>
        <w:pStyle w:val="Heading3"/>
      </w:pPr>
      <w:r>
        <w:rPr>
          <w:rFonts w:ascii="Microsoft YaHei" w:hAnsi="Microsoft YaHei" w:eastAsia="Microsoft YaHei"/>
          <w:b/>
        </w:rPr>
        <w:t>5. Dinoflagellate responses to nutrients and mangrove leaf organic matter in the bioluminescent Mangrove Lagoon, St. Croix, U.S. Virgin Islands</w:t>
      </w:r>
    </w:p>
    <w:p>
      <w:r>
        <w:rPr>
          <w:rFonts w:ascii="Microsoft YaHei" w:hAnsi="Microsoft YaHei" w:eastAsia="Microsoft YaHei"/>
          <w:color w:val="55697D"/>
          <w:sz w:val="18"/>
        </w:rPr>
        <w:t>作者：James L. Pinckney; Michelle Zimberlin; Dianne I. Greenfield</w:t>
      </w:r>
    </w:p>
    <w:p>
      <w:r>
        <w:rPr>
          <w:rFonts w:ascii="Microsoft YaHei" w:hAnsi="Microsoft YaHei" w:eastAsia="Microsoft YaHei"/>
          <w:color w:val="55697D"/>
          <w:sz w:val="18"/>
        </w:rPr>
        <w:t>期刊：Journal of Phycology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DOI：10.1111/jpy.70189</w:t>
      </w:r>
    </w:p>
    <w:p>
      <w:r>
        <w:rPr>
          <w:rFonts w:ascii="Microsoft YaHei" w:hAnsi="Microsoft YaHei" w:eastAsia="Microsoft YaHei"/>
          <w:b/>
          <w:sz w:val="19"/>
        </w:rPr>
        <w:t>关键词：phytoplankton</w:t>
      </w:r>
    </w:p>
    <w:p>
      <w:r>
        <w:rPr>
          <w:rFonts w:ascii="Microsoft YaHei" w:hAnsi="Microsoft YaHei" w:eastAsia="Microsoft YaHei"/>
          <w:sz w:val="17"/>
        </w:rPr>
        <w:t>摘要：生物发光海湾（biobays）是一种罕见的沿海生态系统，具有密集的甲藻种群，通常发现于红树林环礁湖中，具有较长的保水时间和较高的有机质（OM）水平。尽管红树林与高甲藻丰度相关，但在塑造浮游植物群落方面，无机养分与红树林衍生的有机物质相比如何仍不确定。我们在圣维尔京群岛红树林泻湖进行了短期原位生物测定，以比较浮游植物群落对添加无机养分（N 和 P）和衰老红树林叶子的反应。使用高效液相色谱 (HPLC) 色素分析结合 CHEMTAX 评估浮游植物组成，并使用成分和中心对数比主成分分析 (CLR-PCA) 分析数据。营养物添加主要增加了浮游植物总生物量，有利于以硅藻为主的群落，与氮限制一致，但没有显着改变群落组成。相反，添加衰老的红树林叶子始终使群落转向含有多甲素的甲藻丰度更高，而不会显着增加其他浮游植物群的丰度。多变量分析表明，叶子的添加使群落沿着连续的组成谱变化，而不是创造不同的组合。这些发现表明，来自衰老红树林叶子的 OM（渗滤液），而不是单独的无机氮和磷富集，是促进红树林泻湖中甲藻优势的合理机制。 我们的结果强调了红树林 OM 输入在维持一些热带泻湖中以甲藻为主的环境中的潜在作用，证明了红树林可以调节邻近水域浮游植物群落组成的机制。</w:t>
      </w:r>
    </w:p>
    <w:p>
      <w:r>
        <w:rPr>
          <w:rFonts w:ascii="Microsoft YaHei" w:hAnsi="Microsoft YaHei" w:eastAsia="Microsoft YaHei"/>
          <w:color w:val="0563C1"/>
          <w:sz w:val="18"/>
        </w:rPr>
        <w:t>链接：https://doi.org/10.1111/jpy.70189</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