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检索日期：2026-07-05 | GitHub Actions 自动生成</w:t>
      </w:r>
    </w:p>
    <w:p>
      <w:pPr>
        <w:pStyle w:val="Heading1"/>
      </w:pPr>
      <w:r>
        <w:t>今日总览</w:t>
      </w:r>
    </w:p>
    <w:p>
      <w:r>
        <w:rPr>
          <w:rFonts w:ascii="Microsoft YaHei" w:hAnsi="Microsoft YaHei" w:eastAsia="Microsoft YaHei"/>
        </w:rPr>
        <w:t>历史去重后今日新增 2 篇。排序规则：Nature 系列、Science 系列、其余重点期刊、重点关注团队、其他相关补充论文。</w:t>
      </w:r>
    </w:p>
    <w:p>
      <w:pPr>
        <w:pStyle w:val="Heading1"/>
      </w:pPr>
      <w:r>
        <w:t>论文速读</w:t>
      </w:r>
    </w:p>
    <w:p>
      <w:pPr>
        <w:pStyle w:val="Heading2"/>
      </w:pPr>
      <w:r>
        <w:t>重点关注团队</w:t>
      </w:r>
    </w:p>
    <w:p>
      <w:pPr>
        <w:pStyle w:val="Heading3"/>
      </w:pPr>
      <w:r>
        <w:rPr>
          <w:rFonts w:ascii="Microsoft YaHei" w:hAnsi="Microsoft YaHei" w:eastAsia="Microsoft YaHei"/>
          <w:b/>
        </w:rPr>
        <w:t>1. Higher Vulnerability But Faster Recovery in Planted Than Natural Forests During the 2022 Compound Drought–Heatwave in China's Yangtze River Basin</w:t>
      </w:r>
    </w:p>
    <w:p>
      <w:r>
        <w:rPr>
          <w:rFonts w:ascii="Microsoft YaHei" w:hAnsi="Microsoft YaHei" w:eastAsia="Microsoft YaHei"/>
          <w:color w:val="55697D"/>
          <w:sz w:val="18"/>
        </w:rPr>
        <w:t>作者：Yong Su; Wenzhi Wang; Wei Zhao; Zhehong Wu; Lingzhuo Luo; Jiaxing Li; Yushuo Zhang; Shouqin Sun</w:t>
      </w:r>
    </w:p>
    <w:p>
      <w:r>
        <w:rPr>
          <w:rFonts w:ascii="Microsoft YaHei" w:hAnsi="Microsoft YaHei" w:eastAsia="Microsoft YaHei"/>
          <w:color w:val="55697D"/>
          <w:sz w:val="18"/>
        </w:rPr>
        <w:t>期刊：Water Resources Research</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DOI：10.1029/2026wr044482</w:t>
      </w:r>
    </w:p>
    <w:p>
      <w:r>
        <w:rPr>
          <w:rFonts w:ascii="Microsoft YaHei" w:hAnsi="Microsoft YaHei" w:eastAsia="Microsoft YaHei"/>
          <w:b/>
          <w:sz w:val="19"/>
        </w:rPr>
        <w:t>关键词：phytoplankton</w:t>
      </w:r>
    </w:p>
    <w:p>
      <w:r>
        <w:rPr>
          <w:rFonts w:ascii="Microsoft YaHei" w:hAnsi="Microsoft YaHei" w:eastAsia="Microsoft YaHei"/>
          <w:sz w:val="17"/>
        </w:rPr>
        <w:t>摘要：尽管人工林（PF）对长江流域的水土保持做出了巨大贡献，并且是中国造林工作的核心，但它们对干旱和热浪（CDHW）复合事件的抵御能力仍然知之甚少。 2022 年史无前例的 CDHW 事件提供了一个独特的机会来评估 PF 和天然林 (NF) 对此类极端气候扰动的反应。使用核归一化植被指数（kNDVI）、总初级生产力（GPP）和太阳诱导叶绿素荧光（GOSIF），我们发现在事件年，PFs比NFs经历了更大的下降，但在气候条件缓解的下一年恢复得更快，揭示了明显的抵抗-恢复权衡。对于 kNDVI 和 GPP，超过 70% 的网格中 NF 下降较弱，PF 恢复较快。 NF 具有较高的树冠、更大的生物量和更高的物种多样性，表现出更强的抗性，而 PF 则以更简单和年轻的林分为主，表现出更高的恢复潜力。在极端和特殊的 CDHW 条件下，两种森林类型之间的恢复差异变得最为明显。 XGBoost 与 SHAP 分析相结合进一步表明，森林类型之间的结构差异，特别是树冠高度差异，是恢复差异的最强预测因素，而土壤、成分和气候变量的影响因指标而异。这些发现提供了新的经验证据，表明 NF 和 PF 在生态系统稳定性和恢复中发挥着互补作用，为预计 CDHW 集约化下的水资源管理提供了重要影响。</w:t>
      </w:r>
    </w:p>
    <w:p>
      <w:r>
        <w:rPr>
          <w:rFonts w:ascii="Microsoft YaHei" w:hAnsi="Microsoft YaHei" w:eastAsia="Microsoft YaHei"/>
          <w:color w:val="0563C1"/>
          <w:sz w:val="18"/>
        </w:rPr>
        <w:t>链接：https://doi.org/10.1029/2026wr044482</w:t>
      </w:r>
    </w:p>
    <w:p>
      <w:pPr>
        <w:pStyle w:val="Heading2"/>
      </w:pPr>
      <w:r>
        <w:t>其他相关期刊：按主题相关性补充</w:t>
      </w:r>
    </w:p>
    <w:p>
      <w:pPr>
        <w:pStyle w:val="Heading3"/>
      </w:pPr>
      <w:r>
        <w:rPr>
          <w:rFonts w:ascii="Microsoft YaHei" w:hAnsi="Microsoft YaHei" w:eastAsia="Microsoft YaHei"/>
          <w:b/>
        </w:rPr>
        <w:t>2. Distribution of Small Pelagic fish in the Makassar Strait in Relation to Oceanographic Parameters</w:t>
      </w:r>
    </w:p>
    <w:p>
      <w:r>
        <w:rPr>
          <w:rFonts w:ascii="Microsoft YaHei" w:hAnsi="Microsoft YaHei" w:eastAsia="Microsoft YaHei"/>
          <w:color w:val="55697D"/>
          <w:sz w:val="18"/>
        </w:rPr>
        <w:t>作者：Rini Sahni Putri; Surianti; Hasrianti; Muhammad Bibin; Damis; Fadel Muhammad</w:t>
      </w:r>
    </w:p>
    <w:p>
      <w:r>
        <w:rPr>
          <w:rFonts w:ascii="Microsoft YaHei" w:hAnsi="Microsoft YaHei" w:eastAsia="Microsoft YaHei"/>
          <w:color w:val="55697D"/>
          <w:sz w:val="18"/>
        </w:rPr>
        <w:t>期刊：Jurnal IPTEKS Pemanfaatan Sumberdaya Perikanan</w:t>
      </w:r>
    </w:p>
    <w:p>
      <w:r>
        <w:rPr>
          <w:rFonts w:ascii="Microsoft YaHei" w:hAnsi="Microsoft YaHei" w:eastAsia="Microsoft YaHei"/>
          <w:color w:val="55697D"/>
          <w:sz w:val="18"/>
        </w:rPr>
        <w:t>发表月份：2021-11</w:t>
      </w:r>
    </w:p>
    <w:p>
      <w:r>
        <w:rPr>
          <w:rFonts w:ascii="Microsoft YaHei" w:hAnsi="Microsoft YaHei" w:eastAsia="Microsoft YaHei"/>
          <w:color w:val="55697D"/>
          <w:sz w:val="18"/>
        </w:rPr>
        <w:t>DOI：10.20956/jipsp.v8i2.18041</w:t>
      </w:r>
    </w:p>
    <w:p>
      <w:r>
        <w:rPr>
          <w:rFonts w:ascii="Microsoft YaHei" w:hAnsi="Microsoft YaHei" w:eastAsia="Microsoft YaHei"/>
          <w:b/>
          <w:sz w:val="19"/>
        </w:rPr>
        <w:t>关键词：ocean colour</w:t>
      </w:r>
    </w:p>
    <w:p>
      <w:r>
        <w:rPr>
          <w:rFonts w:ascii="Microsoft YaHei" w:hAnsi="Microsoft YaHei" w:eastAsia="Microsoft YaHei"/>
          <w:sz w:val="17"/>
        </w:rPr>
        <w:t>摘要：如果处理不当，开放获取的渔业资源就会导致过度捕捞。为了防止这种情况发生，必须妥善管理和利用各类海洋资源。有关鱼类分布的信息是寻找渔业管理最佳方法的重要因素之一。本文试图利用遥感卫星方法研究望加锡海峡小型中上层鱼类的分布与影响鱼类运动的海洋学参数的关系。这项研究于 2021 年 5 月至 7 月在望加锡海峡水域进行。本研究使用的数据是来自遥感卫星数据的点数据和小型中上层鱼类的捕获量以及海洋学参数。然后使用 GAM 分析对这些数据进行分析。 本研究结果表明，海洋学参数对渔获量有影响，在 29. 5°C – 30. 5°C 的海温范围和 0. 5 mg/m3 – 0. 8 mg/m3 CHL 范围内的 CHL 对小型中上层鱼类的渔获量有很大影响。 6 月份中上层小鱼的平均捕获量最高为 44. 4 公斤。</w:t>
      </w:r>
    </w:p>
    <w:p>
      <w:r>
        <w:rPr>
          <w:rFonts w:ascii="Microsoft YaHei" w:hAnsi="Microsoft YaHei" w:eastAsia="Microsoft YaHei"/>
          <w:color w:val="0563C1"/>
          <w:sz w:val="18"/>
        </w:rPr>
        <w:t>链接：https://doi.org/10.20956/jipsp.v8i2.18041</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