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检索日期：2026-07-10 | GitHub Actions 自动生成</w:t>
      </w:r>
    </w:p>
    <w:p>
      <w:pPr>
        <w:pStyle w:val="Heading1"/>
      </w:pPr>
      <w:r>
        <w:t>今日总览</w:t>
      </w:r>
    </w:p>
    <w:p>
      <w:r>
        <w:rPr>
          <w:rFonts w:ascii="Microsoft YaHei" w:hAnsi="Microsoft YaHei" w:eastAsia="Microsoft YaHei"/>
        </w:rPr>
        <w:t>历史去重后今日新增 11 篇。排序规则：Nature 系列、Science 系列、其余重点期刊、重点关注团队、其他相关补充论文。</w:t>
      </w:r>
    </w:p>
    <w:p>
      <w:pPr>
        <w:pStyle w:val="Heading1"/>
      </w:pPr>
      <w:r>
        <w:t>论文速读</w:t>
      </w:r>
    </w:p>
    <w:p>
      <w:pPr>
        <w:pStyle w:val="Heading2"/>
      </w:pPr>
      <w:r>
        <w:t>重点期刊：按影响力和相关性排序</w:t>
      </w:r>
    </w:p>
    <w:p>
      <w:pPr>
        <w:pStyle w:val="Heading3"/>
      </w:pPr>
      <w:r>
        <w:rPr>
          <w:rFonts w:ascii="Microsoft YaHei" w:hAnsi="Microsoft YaHei" w:eastAsia="Microsoft YaHei"/>
          <w:b/>
        </w:rPr>
        <w:t>1. Marine Heatwave Persistence Drives Phytoplankton Miniaturization and Productivity Decline in the South China Sea</w:t>
      </w:r>
    </w:p>
    <w:p>
      <w:r>
        <w:rPr>
          <w:rFonts w:ascii="Microsoft YaHei" w:hAnsi="Microsoft YaHei" w:eastAsia="Microsoft YaHei"/>
          <w:color w:val="55697D"/>
          <w:sz w:val="18"/>
        </w:rPr>
        <w:t>作者：Jun Zhao; Wenbo He; Xueyuan Huang; Zhimin Bai; Huajian Zheng; Xinyan Li; Haiju Hu; Lin Deng</w:t>
      </w:r>
    </w:p>
    <w:p>
      <w:r>
        <w:rPr>
          <w:rFonts w:ascii="Microsoft YaHei" w:hAnsi="Microsoft YaHei" w:eastAsia="Microsoft YaHei"/>
          <w:color w:val="55697D"/>
          <w:sz w:val="18"/>
        </w:rPr>
        <w:t>期刊：Journal of Geophysical Research: Oceans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DOI：10.1029/2025jc023755</w:t>
      </w:r>
    </w:p>
    <w:p>
      <w:r>
        <w:rPr>
          <w:rFonts w:ascii="Microsoft YaHei" w:hAnsi="Microsoft YaHei" w:eastAsia="Microsoft YaHei"/>
          <w:b/>
          <w:sz w:val="19"/>
        </w:rPr>
        <w:t>关键词：phytoplankton; marine heatwaves</w:t>
      </w:r>
    </w:p>
    <w:p>
      <w:r>
        <w:rPr>
          <w:rFonts w:ascii="Microsoft YaHei" w:hAnsi="Microsoft YaHei" w:eastAsia="Microsoft YaHei"/>
          <w:sz w:val="17"/>
        </w:rPr>
        <w:t>摘要：海洋热浪（MHW）已成为海洋变化的主导因素，但其对边缘海的生物学影响仍未得到很好的解决。利用四十年（1982年至2021年）的高分辨率卫星温度记录，我们发现南海（SCS）的重灾区显着增强，每年累积的重灾区天数翻了两番——从1980年代的每年约35天增加到2010年代的约140天。在事件频率（每十年增加 1. 72 次事件）和平均持续时间（每十年延长 0. 7 天）方面也观察到了显着趋势，特别是在沿海上升流走廊沿线。来自卫星的、尺寸分级的初级生产数据揭示了与持续时间相关的响应。 短期 MHW 造成 15%–30% 的下降，主要是纳米和微型浮游植物的损失，而长期事件则将所有大小类别抑制高达 50%，并使超微型浮游植物的相对份额增加约 20%。潜在的“三重强迫”——浅滩混合层（浅5-15 m）、净热通量增强（&gt;5 W m -2 ）和上升流减弱——限制了养分夹带并驱动了全盆地的贫营养化。与国家海洋和大气管理局的比较，OISST V2表明，粗分辨率海面温度场低估了事件强度0. 3°–0. 6°C，错过超过 25% 的沿海极端天气。 这些结果确定了 MHW 持久性，而不仅仅是振幅，是生态系统破坏的关键决定因素，推动了浮游植物群落的系统性小型化，并将南海转变为细胞更小、出口量低的浮游植物群落。</w:t>
      </w:r>
    </w:p>
    <w:p>
      <w:r>
        <w:rPr>
          <w:rFonts w:ascii="Microsoft YaHei" w:hAnsi="Microsoft YaHei" w:eastAsia="Microsoft YaHei"/>
          <w:color w:val="0563C1"/>
          <w:sz w:val="18"/>
        </w:rPr>
        <w:t>链接：https://doi.org/10.1029/2025jc023755</w:t>
      </w:r>
    </w:p>
    <w:p>
      <w:pPr>
        <w:pStyle w:val="Heading3"/>
      </w:pPr>
      <w:r>
        <w:rPr>
          <w:rFonts w:ascii="Microsoft YaHei" w:hAnsi="Microsoft YaHei" w:eastAsia="Microsoft YaHei"/>
          <w:b/>
        </w:rPr>
        <w:t>2. A Weakened East Asian Winter Monsoon Triggered Record‐Breaking Marine Heatwaves in the South China Sea During 2023–2024</w:t>
      </w:r>
    </w:p>
    <w:p>
      <w:r>
        <w:rPr>
          <w:rFonts w:ascii="Microsoft YaHei" w:hAnsi="Microsoft YaHei" w:eastAsia="Microsoft YaHei"/>
          <w:color w:val="55697D"/>
          <w:sz w:val="18"/>
        </w:rPr>
        <w:t>作者：Xuancheng Lu; Fuan Xiao; Zhifeng Wu; Jieshan Huang; Qiang Wang; Dongxiao Wang</w:t>
      </w:r>
    </w:p>
    <w:p>
      <w:r>
        <w:rPr>
          <w:rFonts w:ascii="Microsoft YaHei" w:hAnsi="Microsoft YaHei" w:eastAsia="Microsoft YaHei"/>
          <w:color w:val="55697D"/>
          <w:sz w:val="18"/>
        </w:rPr>
        <w:t>期刊：Journal of Geophysical Research: Oceans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DOI：10.1029/2026jc024234</w:t>
      </w:r>
    </w:p>
    <w:p>
      <w:r>
        <w:rPr>
          <w:rFonts w:ascii="Microsoft YaHei" w:hAnsi="Microsoft YaHei" w:eastAsia="Microsoft YaHei"/>
          <w:b/>
          <w:sz w:val="19"/>
        </w:rPr>
        <w:t>关键词：marine heatwaves</w:t>
      </w:r>
    </w:p>
    <w:p>
      <w:r>
        <w:rPr>
          <w:rFonts w:ascii="Microsoft YaHei" w:hAnsi="Microsoft YaHei" w:eastAsia="Microsoft YaHei"/>
          <w:sz w:val="17"/>
        </w:rPr>
        <w:t>摘要：南海（SCS）在2023年至2024年期间经历了最极端的海洋热浪（MHW），其强度和持续时间都打破了历史记录。 MHW 事件创下了最大海面温度距平 (SSTA) +1 的新纪录。盆地温度为 64°C。热收支分析表明，MHW 峰值阶段（10 月至 11 月中旬）约 64. 7% 的变暖是由与东亚冬季风 (EAWM) 异常减弱相关的潜热通量 (LHF) 减少所致。峰值阶段的极端海温异常进一步归因于长期变暖趋势 (39. 5%)、正印度洋偶极子 (IOD, 27. 8%) 和热带北大西洋极端变暖 (TNA, 21. 6%)，另外厄尔尼诺现象的贡献也有限。 这些气候模式共同增强了西太平洋副热带高压，使其在空间范围和强度上都打破了历史记录，从而抑制了东亚冬季风。持续时间较长的重水事件引发了严重的复合生态扰动，导致全流域溶解氧浓度降至200. 4 μmol kg -1 ，初级生产力创历史新低0. 116 mg m -3 。这些发现强调了多流域气候强迫的协同影响以及边缘海极端MHW造成的严重生态系统后果。</w:t>
      </w:r>
    </w:p>
    <w:p>
      <w:r>
        <w:rPr>
          <w:rFonts w:ascii="Microsoft YaHei" w:hAnsi="Microsoft YaHei" w:eastAsia="Microsoft YaHei"/>
          <w:color w:val="0563C1"/>
          <w:sz w:val="18"/>
        </w:rPr>
        <w:t>链接：https://doi.org/10.1029/2026jc024234</w:t>
      </w:r>
    </w:p>
    <w:p>
      <w:pPr>
        <w:pStyle w:val="Heading3"/>
      </w:pPr>
      <w:r>
        <w:rPr>
          <w:rFonts w:ascii="Microsoft YaHei" w:hAnsi="Microsoft YaHei" w:eastAsia="Microsoft YaHei"/>
          <w:b/>
        </w:rPr>
        <w:t>3. New insights into the primary production and the structure of the phytoplankton community in the South Indian Ocean using size fractionation experiments</w:t>
      </w:r>
    </w:p>
    <w:p>
      <w:r>
        <w:rPr>
          <w:rFonts w:ascii="Microsoft YaHei" w:hAnsi="Microsoft YaHei" w:eastAsia="Microsoft YaHei"/>
          <w:color w:val="55697D"/>
          <w:sz w:val="18"/>
        </w:rPr>
        <w:t>作者：Valentin Deteix; Céline Ridame; Céline Dimier; Claire Lo Monaco; Aline Tribollet; Frédéric Planchon</w:t>
      </w:r>
    </w:p>
    <w:p>
      <w:r>
        <w:rPr>
          <w:rFonts w:ascii="Microsoft YaHei" w:hAnsi="Microsoft YaHei" w:eastAsia="Microsoft YaHei"/>
          <w:color w:val="55697D"/>
          <w:sz w:val="18"/>
        </w:rPr>
        <w:t>期刊：Biogeosciences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DOI：10.5194/bg-23-4793-2026</w:t>
      </w:r>
    </w:p>
    <w:p>
      <w:r>
        <w:rPr>
          <w:rFonts w:ascii="Microsoft YaHei" w:hAnsi="Microsoft YaHei" w:eastAsia="Microsoft YaHei"/>
          <w:b/>
          <w:sz w:val="19"/>
        </w:rPr>
        <w:t>关键词：carbon pump; phytoplankton</w:t>
      </w:r>
    </w:p>
    <w:p>
      <w:r>
        <w:rPr>
          <w:rFonts w:ascii="Microsoft YaHei" w:hAnsi="Microsoft YaHei" w:eastAsia="Microsoft YaHei"/>
          <w:sz w:val="17"/>
        </w:rPr>
        <w:t>摘要：作为南印度洋从地表到中层暮色区碳通量 (SOCARB) 项目的一部分，浮游植物生物量和净初级生产 (NPP) 以及浮游植物化学分类群的生物量于 2023 年夏末在对比生物地球化学区域进行了评估：南印度洋的贫营养副热带水域、高营养物低营养物区域叶绿素（HNLC）水域，以及南大洋凯尔盖朗群岛附近高产水域。采用尺寸分级方法来表征初级生产和浮游植物化学分类群生物量的尺寸结构，分为三个尺寸类别：超微型浮游植物（20 µm）。 在整个研究区域，NPP 以微型浮游植物 (56% ± 21%) 为主，而总叶绿素 a (TChl a) 由纳米浮游植物 (40% ± 11%) 和微型浮游植物 (37% ± 18%) 维持，特别是纳米浮游植物触生藻和微型浮游植物硅藻。我们的结果强调了 NPP 和 TChl a 大小结构的空间变异性，主要由温度和大量营养素 (N、P) 驱动。在亚热带和亚南极地区，NPP以纳米和微型浮游植物为主，而TChl a则由具有多样化群落（蓝藻、触生植物、绿藻、高原植物）的微微和纳米浮游植物维持。相反，在极锋区和南极区，NPP 和 TChl a 以纳米和微型浮游植物为主，群落多样性较低（硅藻、触生植物）。 基于色素的化学分类学与尺寸分级的结合揭示了对浮游植物化学分类群的尺寸特异性分布的新见解，挑战了针对总体组分的传统功能类型方法，并强调了所有三个尺寸类别中硅藻和触生藻等关键类群的存在。我们的结果还强调了 NPP 和 TChl a 通过自下而上过程的区域内变化，例如副热带地区的气旋涡流或极地锋区的贫硅水团入侵。着眼于整个研究区域的NPP和TChl大小结构之间的联系，NPP主要由纳米和微型浮游植物的生物量驱动，更具体地说是由纳米和微型浮游植物硅藻、触生植物和甲藻的生物量驱动。 这项研究为更好地了解浮游植物生产力和群落规模结构铺平了道路，这可能有助于更详细地了解它们在生物碳泵中的作用。</w:t>
      </w:r>
    </w:p>
    <w:p>
      <w:r>
        <w:rPr>
          <w:rFonts w:ascii="Microsoft YaHei" w:hAnsi="Microsoft YaHei" w:eastAsia="Microsoft YaHei"/>
          <w:color w:val="0563C1"/>
          <w:sz w:val="18"/>
        </w:rPr>
        <w:t>链接：https://doi.org/10.5194/bg-23-4793-2026</w:t>
      </w:r>
    </w:p>
    <w:p>
      <w:pPr>
        <w:pStyle w:val="Heading2"/>
      </w:pPr>
      <w:r>
        <w:t>重点关注团队</w:t>
      </w:r>
    </w:p>
    <w:p>
      <w:pPr>
        <w:pStyle w:val="Heading3"/>
      </w:pPr>
      <w:r>
        <w:rPr>
          <w:rFonts w:ascii="Microsoft YaHei" w:hAnsi="Microsoft YaHei" w:eastAsia="Microsoft YaHei"/>
          <w:b/>
        </w:rPr>
        <w:t>4. Marine heatwave impacts are seasonally amplified by ocean biogeochemical gradients</w:t>
      </w:r>
    </w:p>
    <w:p>
      <w:r>
        <w:rPr>
          <w:rFonts w:ascii="Microsoft YaHei" w:hAnsi="Microsoft YaHei" w:eastAsia="Microsoft YaHei"/>
          <w:color w:val="55697D"/>
          <w:sz w:val="18"/>
        </w:rPr>
        <w:t>作者：Jing Yang; Chen Peng; Kun Shi; R. Iestyn Woolway; Robert J. W. Brewin; Afonso Ferreira; Siqi Zhang; Zhenhua Zhang; et al.</w:t>
      </w:r>
    </w:p>
    <w:p>
      <w:r>
        <w:rPr>
          <w:rFonts w:ascii="Microsoft YaHei" w:hAnsi="Microsoft YaHei" w:eastAsia="Microsoft YaHei"/>
          <w:color w:val="55697D"/>
          <w:sz w:val="18"/>
        </w:rPr>
        <w:t>期刊：Communications Earth &amp;amp; Environment</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DOI：10.1038/s43247-026-03792-6</w:t>
      </w:r>
    </w:p>
    <w:p>
      <w:r>
        <w:rPr>
          <w:rFonts w:ascii="Microsoft YaHei" w:hAnsi="Microsoft YaHei" w:eastAsia="Microsoft YaHei"/>
          <w:b/>
          <w:sz w:val="19"/>
        </w:rPr>
        <w:t>关键词：marine heatwaves</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链接：https://doi.org/10.1038/s43247-026-03792-6</w:t>
      </w:r>
    </w:p>
    <w:p>
      <w:pPr>
        <w:pStyle w:val="Heading3"/>
      </w:pPr>
      <w:r>
        <w:rPr>
          <w:rFonts w:ascii="Microsoft YaHei" w:hAnsi="Microsoft YaHei" w:eastAsia="Microsoft YaHei"/>
          <w:b/>
        </w:rPr>
        <w:t>5. Environmental drivers of dominant phytoplankton species succession in a subtropical reservoir: a species-specific ecological analysis of Shanzai Reservoir, Fujian, China</w:t>
      </w:r>
    </w:p>
    <w:p>
      <w:r>
        <w:rPr>
          <w:rFonts w:ascii="Microsoft YaHei" w:hAnsi="Microsoft YaHei" w:eastAsia="Microsoft YaHei"/>
          <w:color w:val="55697D"/>
          <w:sz w:val="18"/>
        </w:rPr>
        <w:t>作者：Jehangir Ijaz; Sheraz Akhtar Gil; Yuping Su; Weng Yuxin; Tang Jian; Muhammad Irfan Ahamad</w:t>
      </w:r>
    </w:p>
    <w:p>
      <w:r>
        <w:rPr>
          <w:rFonts w:ascii="Microsoft YaHei" w:hAnsi="Microsoft YaHei" w:eastAsia="Microsoft YaHei"/>
          <w:color w:val="55697D"/>
          <w:sz w:val="18"/>
        </w:rPr>
        <w:t>期刊：Marine and Freshwater Research</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DOI：10.1071/mf26075</w:t>
      </w:r>
    </w:p>
    <w:p>
      <w:r>
        <w:rPr>
          <w:rFonts w:ascii="Microsoft YaHei" w:hAnsi="Microsoft YaHei" w:eastAsia="Microsoft YaHei"/>
          <w:b/>
          <w:sz w:val="19"/>
        </w:rPr>
        <w:t>关键词：phytoplankton</w:t>
      </w:r>
    </w:p>
    <w:p>
      <w:r>
        <w:rPr>
          <w:rFonts w:ascii="Microsoft YaHei" w:hAnsi="Microsoft YaHei" w:eastAsia="Microsoft YaHei"/>
          <w:sz w:val="17"/>
        </w:rPr>
        <w:t>摘要：背景 气候变暖和富营养化导致亚热带饮用水水库面临着越来越多的蓝藻水华威胁。目的 本研究调查了中国福建省山寨水库优势浮游植物演替的环境驱动因素。方法 对四个地点进行每月地表水监测（2023 年 4 月至 2024 年 4 月，n = 52）。应用克鲁斯卡尔-沃利斯检验、典型对应分析（CCA）、路径分析和受试者工作特征（ROC）曲线分析来识别和验证环境驱动因素和水华风险阈值。主要结果 确定了七个优势物种；微囊藻属(44. 2%) 和 Melosira sp。 (36. 5%) 合计占发生次数的 80% 以上。 CCA（轴 1：r = 0. 895）将 pH、温度和化学需氧量 (COD) 确定为最强的多元判别因素。 路径分析表明，温度主要通过温度→分层→蓝藻生物量链的间接途径（R2 = 0. 780）发挥作用。 ROC 分析验证了水华风险阈值如下：温度 ≥ 25. 6°C（曲线下面积，AUC = 0. 904），pH ≥ 9. 12 (AUC = 0. 941) 和 COD ≥ 2. 70 mg L−1 (AUC = 0. 956)。结论 确认了所有优势物种都有独特的生态位，温度和磷是主要的演替驱动因素。含义 经过统计验证的阈值为水库管理者提供了实用的两阶段预警框架，以预测和防止有害的蓝藻水华。</w:t>
      </w:r>
    </w:p>
    <w:p>
      <w:r>
        <w:rPr>
          <w:rFonts w:ascii="Microsoft YaHei" w:hAnsi="Microsoft YaHei" w:eastAsia="Microsoft YaHei"/>
          <w:color w:val="0563C1"/>
          <w:sz w:val="18"/>
        </w:rPr>
        <w:t>链接：https://doi.org/10.1071/mf26075</w:t>
      </w:r>
    </w:p>
    <w:p>
      <w:pPr>
        <w:pStyle w:val="Heading3"/>
      </w:pPr>
      <w:r>
        <w:rPr>
          <w:rFonts w:ascii="Microsoft YaHei" w:hAnsi="Microsoft YaHei" w:eastAsia="Microsoft YaHei"/>
          <w:b/>
        </w:rPr>
        <w:t>6. Towards Microalgal Biorefinery: Multiproduct Fractionation of Phaeodactylum tricornutum by Liquid–Liquid Techniques</w:t>
      </w:r>
    </w:p>
    <w:p>
      <w:r>
        <w:rPr>
          <w:rFonts w:ascii="Microsoft YaHei" w:hAnsi="Microsoft YaHei" w:eastAsia="Microsoft YaHei"/>
          <w:color w:val="55697D"/>
          <w:sz w:val="18"/>
        </w:rPr>
        <w:t>作者：Kolos Makay; Claudia Grewe</w:t>
      </w:r>
    </w:p>
    <w:p>
      <w:r>
        <w:rPr>
          <w:rFonts w:ascii="Microsoft YaHei" w:hAnsi="Microsoft YaHei" w:eastAsia="Microsoft YaHei"/>
          <w:color w:val="55697D"/>
          <w:sz w:val="18"/>
        </w:rPr>
        <w:t>期刊：Marine Drugs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DOI：10.3390/md24070242</w:t>
      </w:r>
    </w:p>
    <w:p>
      <w:r>
        <w:rPr>
          <w:rFonts w:ascii="Microsoft YaHei" w:hAnsi="Microsoft YaHei" w:eastAsia="Microsoft YaHei"/>
          <w:b/>
          <w:sz w:val="19"/>
        </w:rPr>
        <w:t>关键词：phytoplankton</w:t>
      </w:r>
    </w:p>
    <w:p>
      <w:r>
        <w:rPr>
          <w:rFonts w:ascii="Microsoft YaHei" w:hAnsi="Microsoft YaHei" w:eastAsia="Microsoft YaHei"/>
          <w:sz w:val="17"/>
        </w:rPr>
        <w:t>摘要：三角褐指藻是一种很有前途的生物精炼原料，因为它含有岩藻黄质和二十碳五烯酸 (EPA) 等高价值化合物，以及其他色素、蛋白质、碳水化合物和多酚类物质。然而，下游加工通常针对单一化合物，导致可能的副产品未得到充分利用，从而限制了生物质的增值。本研究通过将固-液-液萃取 (SLLE) 与离心分配色谱 (CPC) 相结合，开发了一种针对潮湿、破碎的三角角藻生物质的多产品工作流程。 SLLE 步骤使用乙酸乙酯/正丁醇/水溶剂系统（3:2:5，v/v/v），并针对生物质负载和提取时间进行了优化，产生亲脂性、水性、界面性和不溶性初级级分。 生物质含量是控制这些组分的分配和目标化合物回收的主要因素，而提取时间具有次要影响。在1. 3 h和4. 25%生物质含量的工艺优化条件下，岩藻黄质和EPA回收率分别达到91. 3%和70%。亲脂部分通过两级 CPC 进一步精制，产生高纯度岩藻黄质 (99. 4 ± 1. 0%) 和富含 EPA 的甘油脂 (高达 99. 9 ± 0. 5%)。此外，在整个过程中还获得了另外十个级分，包括含类胡萝卜素、叶绿素、多酚、富含蛋白质和富含碳水化合物的级分。总体而言，这种十二部分工作流程支持向可扩展的三角褐藻生物精炼厂的过渡，并为评估向其他微藻的可转移性提供了基础。</w:t>
      </w:r>
    </w:p>
    <w:p>
      <w:r>
        <w:rPr>
          <w:rFonts w:ascii="Microsoft YaHei" w:hAnsi="Microsoft YaHei" w:eastAsia="Microsoft YaHei"/>
          <w:color w:val="0563C1"/>
          <w:sz w:val="18"/>
        </w:rPr>
        <w:t>链接：https://doi.org/10.3390/md24070242</w:t>
      </w:r>
    </w:p>
    <w:p>
      <w:pPr>
        <w:pStyle w:val="Heading3"/>
      </w:pPr>
      <w:r>
        <w:rPr>
          <w:rFonts w:ascii="Microsoft YaHei" w:hAnsi="Microsoft YaHei" w:eastAsia="Microsoft YaHei"/>
          <w:b/>
        </w:rPr>
        <w:t>7. CARE Radiative Transfer Model: A Tool for Supporting Polarization and Hyperspectral Radiative Transfer Simulation in the Coupled Atmosphere–Ocean System</w:t>
      </w:r>
    </w:p>
    <w:p>
      <w:r>
        <w:rPr>
          <w:rFonts w:ascii="Microsoft YaHei" w:hAnsi="Microsoft YaHei" w:eastAsia="Microsoft YaHei"/>
          <w:color w:val="55697D"/>
          <w:sz w:val="18"/>
        </w:rPr>
        <w:t>作者：Chong Shi; Husi Letu; Teruyuki Nakajima; Miho Sekiguchi; Wenwu Wang; Ruijie Yao; Huazhe Shang; Shuai Yin; et al.</w:t>
      </w:r>
    </w:p>
    <w:p>
      <w:r>
        <w:rPr>
          <w:rFonts w:ascii="Microsoft YaHei" w:hAnsi="Microsoft YaHei" w:eastAsia="Microsoft YaHei"/>
          <w:color w:val="55697D"/>
          <w:sz w:val="18"/>
        </w:rPr>
        <w:t>期刊：Advances in Atmospheric Sciences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DOI：10.1007/s00376-026-5676-6</w:t>
      </w:r>
    </w:p>
    <w:p>
      <w:r>
        <w:rPr>
          <w:rFonts w:ascii="Microsoft YaHei" w:hAnsi="Microsoft YaHei" w:eastAsia="Microsoft YaHei"/>
          <w:b/>
          <w:sz w:val="19"/>
        </w:rPr>
        <w:t>关键词：ocean biogeochemistry</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链接：https://doi.org/10.1007/s00376-026-5676-6</w:t>
      </w:r>
    </w:p>
    <w:p>
      <w:pPr>
        <w:pStyle w:val="Heading2"/>
      </w:pPr>
      <w:r>
        <w:t>其他相关期刊：按主题相关性补充</w:t>
      </w:r>
    </w:p>
    <w:p>
      <w:pPr>
        <w:pStyle w:val="Heading3"/>
      </w:pPr>
      <w:r>
        <w:rPr>
          <w:rFonts w:ascii="Microsoft YaHei" w:hAnsi="Microsoft YaHei" w:eastAsia="Microsoft YaHei"/>
          <w:b/>
        </w:rPr>
        <w:t>8. Coral Reef Community Structure and Photophysiology Differ Between Upwelling and Non-Upwelling Locations on the Pacific Coast of Costa Rica</w:t>
      </w:r>
    </w:p>
    <w:p>
      <w:r>
        <w:rPr>
          <w:rFonts w:ascii="Microsoft YaHei" w:hAnsi="Microsoft YaHei" w:eastAsia="Microsoft YaHei"/>
          <w:color w:val="55697D"/>
          <w:sz w:val="18"/>
        </w:rPr>
        <w:t>作者：Dar Golomb; Kayla M. Cayemitte; Grace K. Saba; Lori M. Garzio; Maxim Gorbunov; Clinton Haldeman; Juan José Alvarado; Tali Mass; et al.</w:t>
      </w:r>
    </w:p>
    <w:p>
      <w:r>
        <w:rPr>
          <w:rFonts w:ascii="Microsoft YaHei" w:hAnsi="Microsoft YaHei" w:eastAsia="Microsoft YaHei"/>
          <w:color w:val="55697D"/>
          <w:sz w:val="18"/>
        </w:rPr>
        <w:t>期刊：Journal of Marine Science and Engineering</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DOI：10.3390/jmse14141265</w:t>
      </w:r>
    </w:p>
    <w:p>
      <w:r>
        <w:rPr>
          <w:rFonts w:ascii="Microsoft YaHei" w:hAnsi="Microsoft YaHei" w:eastAsia="Microsoft YaHei"/>
          <w:b/>
          <w:sz w:val="19"/>
        </w:rPr>
        <w:t>关键词：carbon pump; phytoplankton; marine heatwaves</w:t>
      </w:r>
    </w:p>
    <w:p>
      <w:r>
        <w:rPr>
          <w:rFonts w:ascii="Microsoft YaHei" w:hAnsi="Microsoft YaHei" w:eastAsia="Microsoft YaHei"/>
          <w:sz w:val="17"/>
        </w:rPr>
        <w:t>摘要：造礁珊瑚和珊瑚藻形成了支撑热带珊瑚礁的碳酸钙框架，但在某些地方，由于海洋热浪和其他压力因素，近几十年来，珊瑚覆盖率下降了约 50%。因此，识别庇护环境，例如上升流系统，可以缓冲压力，促进恢复，并可以通过促进支持耐热性的生理可塑性来增强恢复力，这一点至关重要。在这里，我们比较了哥斯达黎加太平洋沿岸帕帕加约湾的上升流地点和萨马拉的非上升流地点之间的底栖群落组成、珊瑚覆盖率和光生理学。帕帕加约的水域温度较低、酸性更强，叶绿素 a 浓度也更高。 与萨马拉相比，该地点的珊瑚礁呈现出更高的壳状珊瑚藻、更高的海胆丰度和更低的大型藻类覆盖率。帕帕加约 (Papagayo) 还显示出更高的石珊瑚覆盖率，这是由 Pocillopora spp. 驱动的。 ，而萨马拉则以大量耐热滨珊瑚属为主。不同地点的光生理参数存在显着差异。具体而言，帕帕加约珊瑚的光合效率 (Fv’/Fm’) 比萨马拉珊瑚高 10–45%，最大光合速率 (Pmax) 低 20–40%。这些结果表明，在相对较小的地理区域内，环境状况不同的两个地点的珊瑚群落组成和光生理特征也不同。 尽管需要进一步的研究来解决这些环境对比是否会影响观察到的生物差异，但观察到的模式与这种制度可能支持珊瑚礁持续存在或避难所的假设是一致的，为未来直接检验这一假设的工作提供了基础。</w:t>
      </w:r>
    </w:p>
    <w:p>
      <w:r>
        <w:rPr>
          <w:rFonts w:ascii="Microsoft YaHei" w:hAnsi="Microsoft YaHei" w:eastAsia="Microsoft YaHei"/>
          <w:color w:val="0563C1"/>
          <w:sz w:val="18"/>
        </w:rPr>
        <w:t>链接：https://doi.org/10.3390/jmse14141265</w:t>
      </w:r>
    </w:p>
    <w:p>
      <w:pPr>
        <w:pStyle w:val="Heading3"/>
      </w:pPr>
      <w:r>
        <w:rPr>
          <w:rFonts w:ascii="Microsoft YaHei" w:hAnsi="Microsoft YaHei" w:eastAsia="Microsoft YaHei"/>
          <w:b/>
        </w:rPr>
        <w:t>9. Spatiotemporal dynamics of chlorophyll-a in Pekalongan coastal waters, Indonesia, derived from sentinel-2 imagery</w:t>
      </w:r>
    </w:p>
    <w:p>
      <w:r>
        <w:rPr>
          <w:rFonts w:ascii="Microsoft YaHei" w:hAnsi="Microsoft YaHei" w:eastAsia="Microsoft YaHei"/>
          <w:color w:val="55697D"/>
          <w:sz w:val="18"/>
        </w:rPr>
        <w:t>作者：Muhammad Nur Al Fajrin; Lilik Maslukah; Aris Ismanto; Muhammad Zainuri; Anindya Wirasatriya; Ulung Jantama Wisha; Muhammad Shulhan Jihadi</w:t>
      </w:r>
    </w:p>
    <w:p>
      <w:r>
        <w:rPr>
          <w:rFonts w:ascii="Microsoft YaHei" w:hAnsi="Microsoft YaHei" w:eastAsia="Microsoft YaHei"/>
          <w:color w:val="55697D"/>
          <w:sz w:val="18"/>
        </w:rPr>
        <w:t>期刊：Anthropocene Coasts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DOI：10.1007/s44218-026-00145-w</w:t>
      </w:r>
    </w:p>
    <w:p>
      <w:r>
        <w:rPr>
          <w:rFonts w:ascii="Microsoft YaHei" w:hAnsi="Microsoft YaHei" w:eastAsia="Microsoft YaHei"/>
          <w:b/>
          <w:sz w:val="19"/>
        </w:rPr>
        <w:t>关键词：phytoplankton; vertical structure</w:t>
      </w:r>
    </w:p>
    <w:p>
      <w:r>
        <w:rPr>
          <w:rFonts w:ascii="Microsoft YaHei" w:hAnsi="Microsoft YaHei" w:eastAsia="Microsoft YaHei"/>
          <w:sz w:val="17"/>
        </w:rPr>
        <w:t>摘要：叶绿素a是初级生产力的关键指标，也是评估河口水质的重要参数。本研究开发了一种根据 Sentinel-2 图像估算叶绿素 a 浓度的经验算法，并研究了 2020 年至 2024 年印度尼西亚中爪哇省北加浪岸水域气象和水文因素对叶绿素 a 变化的影响。在第一个过渡季节和东南季风期间，在墨西哥河、盛加朗河和洛吉河的河口地区进行了实地观测。为了最大限度地减少潮汐影响，在可比较的潮汐条件（洪水到落潮）下进行了现场采样和卫星采集。在测试的模型中，基于绿红带比的指数回归表现出最佳性能（R 2 = 0. 543，RMSE = 1. 284 µg/L，偏差 = 0. 303 µg/L）。 开发的算法成功捕获了叶绿素-a 的空间分布，显示河口区域的浓度 (1. 6–11. 4 µg/L) 始终高于近海水域 (0. 2–7. 0 µg/L)，表明陆地影响强烈。相关分析表明，叶绿素-a 浓度与风速 (r = − 0. 518) 和日照时数 (r = − 0. 550) 呈负相关，表明垂直混合和光相关限制对浮游植物生长的影响，而降雨则表现出很强的正相关关系。河流流量仅表现出中等相关性，表明叶绿素-a 动态受多个相互作用的环境驱动因素控制。总体而言，北加浪岸水域的叶绿素变化是由陆地输入、气象强迫和物理海洋过程的相互作用形成的。 该算法为热带沿海水域叶绿素a 监测提供了一种有效的方法。</w:t>
      </w:r>
    </w:p>
    <w:p>
      <w:r>
        <w:rPr>
          <w:rFonts w:ascii="Microsoft YaHei" w:hAnsi="Microsoft YaHei" w:eastAsia="Microsoft YaHei"/>
          <w:color w:val="0563C1"/>
          <w:sz w:val="18"/>
        </w:rPr>
        <w:t>链接：https://doi.org/10.1007/s44218-026-00145-w</w:t>
      </w:r>
    </w:p>
    <w:p>
      <w:pPr>
        <w:pStyle w:val="Heading3"/>
      </w:pPr>
      <w:r>
        <w:rPr>
          <w:rFonts w:ascii="Microsoft YaHei" w:hAnsi="Microsoft YaHei" w:eastAsia="Microsoft YaHei"/>
          <w:b/>
        </w:rPr>
        <w:t>10. Seasonal consistency in food selectivity of adult Euphausia pacifica in the Yellow Sea: evidence from in situ bottle incubation experiments</w:t>
      </w:r>
    </w:p>
    <w:p>
      <w:r>
        <w:rPr>
          <w:rFonts w:ascii="Microsoft YaHei" w:hAnsi="Microsoft YaHei" w:eastAsia="Microsoft YaHei"/>
          <w:color w:val="55697D"/>
          <w:sz w:val="18"/>
        </w:rPr>
        <w:t>作者：Hyunjin Yoon; Ah-Ra Ko; Caroline Tracy Shaw; Se-Jong Ju</w:t>
      </w:r>
    </w:p>
    <w:p>
      <w:r>
        <w:rPr>
          <w:rFonts w:ascii="Microsoft YaHei" w:hAnsi="Microsoft YaHei" w:eastAsia="Microsoft YaHei"/>
          <w:color w:val="55697D"/>
          <w:sz w:val="18"/>
        </w:rPr>
        <w:t>期刊：Journal of Plankton Research</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DOI：10.1093/plankt/fbag053</w:t>
      </w:r>
    </w:p>
    <w:p>
      <w:r>
        <w:rPr>
          <w:rFonts w:ascii="Microsoft YaHei" w:hAnsi="Microsoft YaHei" w:eastAsia="Microsoft YaHei"/>
          <w:b/>
          <w:sz w:val="19"/>
        </w:rPr>
        <w:t>关键词：phytoplankton</w:t>
      </w:r>
    </w:p>
    <w:p>
      <w:r>
        <w:rPr>
          <w:rFonts w:ascii="Microsoft YaHei" w:hAnsi="Microsoft YaHei" w:eastAsia="Microsoft YaHei"/>
          <w:sz w:val="17"/>
        </w:rPr>
        <w:t>摘要：太平洋磷虾是黄海的重要中营养级消费者，也是一种机会主义杂食动物，以浮游植物、原生生物、海洋雪和动物猎物（例如鱼类幼虫）为食。我们测试了成年太平洋太平洋虾的短期猎物选择性在季节之间是否存在差异，与季节性猎物可用性的关系。春季和夏季使用 200 μm 预先筛选的海水进行原位瓶孵化实验，将测试的猎物范围主要限制为超微型浮游植物、硅藻相关的微型浮游植物、自养和异养甲藻和纤毛虫。季节性猎物环境存在显着差异：春季组合显示出较高的微型浮游生物生物量和硅藻优势，而夏季组合则转向皮尺寸自养生物和较低的微型浮游生物生物量。选择性指数表明 E. pacifica始终选择微型浮游动物，特别是纤毛虫，而硅藻相关类别和微型浮游植物要么不被选择，要么显示出低放牧信号。瓶子体积比较（春季：2 升与 4 升；夏季：4 升与 10 升）表明，绝对过滤估计值对体积敏感，尽管总体定性选择性模式得以保留，但在较小的瓶子中更频繁地出现低值或非正值。这些发现表明，对 &lt;200 μm 大小的微型浮游动物的短期选择具有季节性一致性，并建议在基于清除率的喂养估计中考虑瓶子体积的影响。</w:t>
      </w:r>
    </w:p>
    <w:p>
      <w:r>
        <w:rPr>
          <w:rFonts w:ascii="Microsoft YaHei" w:hAnsi="Microsoft YaHei" w:eastAsia="Microsoft YaHei"/>
          <w:color w:val="0563C1"/>
          <w:sz w:val="18"/>
        </w:rPr>
        <w:t>链接：https://doi.org/10.1093/plankt/fbag053</w:t>
      </w:r>
    </w:p>
    <w:p>
      <w:pPr>
        <w:pStyle w:val="Heading3"/>
      </w:pPr>
      <w:r>
        <w:rPr>
          <w:rFonts w:ascii="Microsoft YaHei" w:hAnsi="Microsoft YaHei" w:eastAsia="Microsoft YaHei"/>
          <w:b/>
        </w:rPr>
        <w:t>11. Identification of Harmful Algal Bloom-Causing Phytoplankton and Water Quality Status in Hurun Bay, Lampung, Indonesia</w:t>
      </w:r>
    </w:p>
    <w:p>
      <w:r>
        <w:rPr>
          <w:rFonts w:ascii="Microsoft YaHei" w:hAnsi="Microsoft YaHei" w:eastAsia="Microsoft YaHei"/>
          <w:color w:val="55697D"/>
          <w:sz w:val="18"/>
        </w:rPr>
        <w:t>作者：FARAISHA PUTRI ARIANA; Novriadi Novriadi; Yanti Ariyanti; Jeane Siswitasari Mulyana; Gres Maretta</w:t>
      </w:r>
    </w:p>
    <w:p>
      <w:r>
        <w:rPr>
          <w:rFonts w:ascii="Microsoft YaHei" w:hAnsi="Microsoft YaHei" w:eastAsia="Microsoft YaHei"/>
          <w:color w:val="55697D"/>
          <w:sz w:val="18"/>
        </w:rPr>
        <w:t>期刊：MAXIMUS: Journal of Biological and Life Sciences</w:t>
      </w:r>
    </w:p>
    <w:p>
      <w:r>
        <w:rPr>
          <w:rFonts w:ascii="Microsoft YaHei" w:hAnsi="Microsoft YaHei" w:eastAsia="Microsoft YaHei"/>
          <w:color w:val="55697D"/>
          <w:sz w:val="18"/>
        </w:rPr>
        <w:t>发表月份：2026-04</w:t>
      </w:r>
    </w:p>
    <w:p>
      <w:r>
        <w:rPr>
          <w:rFonts w:ascii="Microsoft YaHei" w:hAnsi="Microsoft YaHei" w:eastAsia="Microsoft YaHei"/>
          <w:color w:val="55697D"/>
          <w:sz w:val="18"/>
        </w:rPr>
        <w:t>DOI：10.35472/maximus.v4i1.2722</w:t>
      </w:r>
    </w:p>
    <w:p>
      <w:r>
        <w:rPr>
          <w:rFonts w:ascii="Microsoft YaHei" w:hAnsi="Microsoft YaHei" w:eastAsia="Microsoft YaHei"/>
          <w:b/>
          <w:sz w:val="19"/>
        </w:rPr>
        <w:t>关键词：phytoplankton; vertical structure</w:t>
      </w:r>
    </w:p>
    <w:p>
      <w:r>
        <w:rPr>
          <w:rFonts w:ascii="Microsoft YaHei" w:hAnsi="Microsoft YaHei" w:eastAsia="Microsoft YaHei"/>
          <w:sz w:val="17"/>
        </w:rPr>
        <w:t>摘要：在受人为营养富集影响的沿海水域，有害藻华 (HAB) 的报道越来越多。本研究旨在识别楠榜胡伦湾可能引起赤潮病的浮游植物属，并评估支持的物理化学水参数。采样地点为人类活动密集区的三个地点：网箱养殖水域、滨海旅游区和港区。采用垂直拖曳法采集浮游植物样品并进行显微镜鉴定，水质参数包括温度、盐度、pH、溶解氧、硝酸盐和磷酸盐。已鉴定出九个与 HAB 相关的浮游植物属，主要为角毛藻属、细菌星藻属和菱形藻属。 营养物浓度表明存在富营养化状况，而物理参数仍处于浮游植物生长的耐受范围内。较高的营养物质和适宜的环境条件相结合表明胡润湾对HAB事件的脆弱性很高。因此，需要进行养分管理和监测，以减轻该沿海系统的生态和水产养殖风险。</w:t>
      </w:r>
    </w:p>
    <w:p>
      <w:r>
        <w:rPr>
          <w:rFonts w:ascii="Microsoft YaHei" w:hAnsi="Microsoft YaHei" w:eastAsia="Microsoft YaHei"/>
          <w:color w:val="0563C1"/>
          <w:sz w:val="18"/>
        </w:rPr>
        <w:t>链接：https://doi.org/10.35472/maximus.v4i1.2722</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