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检索日期：2026-07-12 | GitHub Actions 自动生成</w:t>
      </w:r>
    </w:p>
    <w:p>
      <w:pPr>
        <w:pStyle w:val="Heading1"/>
      </w:pPr>
      <w:r>
        <w:t>今日总览</w:t>
      </w:r>
    </w:p>
    <w:p>
      <w:r>
        <w:rPr>
          <w:rFonts w:ascii="Microsoft YaHei" w:hAnsi="Microsoft YaHei" w:eastAsia="Microsoft YaHei"/>
        </w:rPr>
        <w:t>历史去重后今日新增 4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Quantifying Shifts in the Absorption Budget of the Labrador Sea as the Dominant Phytoplankton Group Changes Between Diatoms and Phaeocystis</w:t>
      </w:r>
    </w:p>
    <w:p>
      <w:r>
        <w:rPr>
          <w:rFonts w:ascii="Microsoft YaHei" w:hAnsi="Microsoft YaHei" w:eastAsia="Microsoft YaHei"/>
          <w:color w:val="55697D"/>
          <w:sz w:val="18"/>
        </w:rPr>
        <w:t>作者：K. L. Wilson; E. Devred; T. Perry; S. Clay</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DOI：10.1029/2025jc023285</w:t>
      </w:r>
    </w:p>
    <w:p>
      <w:r>
        <w:rPr>
          <w:rFonts w:ascii="Microsoft YaHei" w:hAnsi="Microsoft YaHei" w:eastAsia="Microsoft YaHei"/>
          <w:b/>
          <w:sz w:val="19"/>
        </w:rPr>
        <w:t>关键词：phytoplankton; absorption; bio-optics; microbial carbon</w:t>
      </w:r>
    </w:p>
    <w:p>
      <w:r>
        <w:rPr>
          <w:rFonts w:ascii="Microsoft YaHei" w:hAnsi="Microsoft YaHei" w:eastAsia="Microsoft YaHei"/>
          <w:sz w:val="17"/>
        </w:rPr>
        <w:t>摘要：拉布拉多海春季浮游植物的繁殖以硅藻为主，其中包括棕囊藻属 (Phaeocystis spp)。 （以下简称棕囊藻）占浮游植物总生物量的 25% 以上。然而，在 2015 年和 2022 年，观察到棕囊藻大量繁殖，占表面浮游植物生物量的 90%。在这项研究中，我们量化了沿着拉布拉多海监测线（从拉布拉多东南部到格陵兰岛西南海岸）的四个不同海洋状况内浮游植物（PHY）、有色溶解有机物（CDOM）和非藻类颗粒（NAP）吸收系数的变化。基于色素的化学分类学显示，2014年至2022年，硅藻和棕囊藻是春季的优势分类群。对光学活性成分的吸收系数进行分析，了解拉布拉多海的生物光学状况。 以硅藻和其他非棕囊藻类群为主的区域被确定为案例 2 水域，具有高 CDOM 系数，并且与 PHY 不存在相关性。以硅藻为主的水表现出最低的叶绿素特异性吸收 (a* PHY )。夏季，叶绿素a浓度（chl-a）较低时，a* PHY最高；然而，a* PHY 随着棕囊藻生物量的增加而减少。与典型条件相反，当棕囊藻生物量占总叶绿素的 80% 或更多时，PHY、NAP 和 CDOM 与 PHY 的显着增加呈正相关且显着相关。 470 至 518 nm 之间 PHY 的线性斜率较高，与褐囊藻呈正相关，较低，与硅藻生物量呈负相关。 有关 PHY 光谱形状和幅度的信息支持开发基于高光谱的反射率模型，以从太空检测拉布拉多海中的棕囊藻水华。</w:t>
      </w:r>
    </w:p>
    <w:p>
      <w:r>
        <w:rPr>
          <w:rFonts w:ascii="Microsoft YaHei" w:hAnsi="Microsoft YaHei" w:eastAsia="Microsoft YaHei"/>
          <w:color w:val="0563C1"/>
          <w:sz w:val="18"/>
        </w:rPr>
        <w:t>链接：https://doi.org/10.1029/2025jc023285</w:t>
      </w:r>
    </w:p>
    <w:p>
      <w:pPr>
        <w:pStyle w:val="Heading2"/>
      </w:pPr>
      <w:r>
        <w:t>重点关注团队</w:t>
      </w:r>
    </w:p>
    <w:p>
      <w:pPr>
        <w:pStyle w:val="Heading3"/>
      </w:pPr>
      <w:r>
        <w:rPr>
          <w:rFonts w:ascii="Microsoft YaHei" w:hAnsi="Microsoft YaHei" w:eastAsia="Microsoft YaHei"/>
          <w:b/>
        </w:rPr>
        <w:t>2. Quantum walk model reveals the propagation path of phytoplankton blooms along the Kuroshio-Oyashio system in the western North Pacific</w:t>
      </w:r>
    </w:p>
    <w:p>
      <w:r>
        <w:rPr>
          <w:rFonts w:ascii="Microsoft YaHei" w:hAnsi="Microsoft YaHei" w:eastAsia="Microsoft YaHei"/>
          <w:color w:val="55697D"/>
          <w:sz w:val="18"/>
        </w:rPr>
        <w:t>作者：Zhenxia Liu; Yanhui Dai; Luojian Tan; Binru Zhao; Xu Hu; Wen Luo; Linwang Yuan; Zhaoyuan Yu</w:t>
      </w:r>
    </w:p>
    <w:p>
      <w:r>
        <w:rPr>
          <w:rFonts w:ascii="Microsoft YaHei" w:hAnsi="Microsoft YaHei" w:eastAsia="Microsoft YaHei"/>
          <w:color w:val="55697D"/>
          <w:sz w:val="18"/>
        </w:rPr>
        <w:t>期刊：Acta Oceanologica Sinica</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DOI：10.1007/s13131-026-2659-5</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链接：https://doi.org/10.1007/s13131-026-2659-5</w:t>
      </w:r>
    </w:p>
    <w:p>
      <w:pPr>
        <w:pStyle w:val="Heading3"/>
      </w:pPr>
      <w:r>
        <w:rPr>
          <w:rFonts w:ascii="Microsoft YaHei" w:hAnsi="Microsoft YaHei" w:eastAsia="Microsoft YaHei"/>
          <w:b/>
        </w:rPr>
        <w:t>3. From chaos to order: cross-kingdom coordination buffers microbial communities against typhoon impacts</w:t>
      </w:r>
    </w:p>
    <w:p>
      <w:r>
        <w:rPr>
          <w:rFonts w:ascii="Microsoft YaHei" w:hAnsi="Microsoft YaHei" w:eastAsia="Microsoft YaHei"/>
          <w:color w:val="55697D"/>
          <w:sz w:val="18"/>
        </w:rPr>
        <w:t>作者：Hui Huang; Junze Wu; Zhangxi Hu; Huaming Wu; Yulei Zhang</w:t>
      </w:r>
    </w:p>
    <w:p>
      <w:r>
        <w:rPr>
          <w:rFonts w:ascii="Microsoft YaHei" w:hAnsi="Microsoft YaHei" w:eastAsia="Microsoft YaHei"/>
          <w:color w:val="55697D"/>
          <w:sz w:val="18"/>
        </w:rPr>
        <w:t>期刊：BMC Microbiology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DOI：10.1186/s12866-026-05387-9</w:t>
      </w:r>
    </w:p>
    <w:p>
      <w:r>
        <w:rPr>
          <w:rFonts w:ascii="Microsoft YaHei" w:hAnsi="Microsoft YaHei" w:eastAsia="Microsoft YaHei"/>
          <w:b/>
          <w:sz w:val="19"/>
        </w:rPr>
        <w:t>关键词：phytoplankton; microbial carbon</w:t>
      </w:r>
    </w:p>
    <w:p>
      <w:r>
        <w:rPr>
          <w:rFonts w:ascii="Microsoft YaHei" w:hAnsi="Microsoft YaHei" w:eastAsia="Microsoft YaHei"/>
          <w:sz w:val="17"/>
        </w:rPr>
        <w:t>摘要：背景 台风扰动深刻重塑了沿海微生物生态系统；然而，细菌和浮游植物群落的耦合反应和共同演替动态仍然知之甚少。确定它们的相互作用和关键驱动因素对于了解生态系统的恢复力和预测干扰后藻类动态至关重要。方法以湛江湾为模型系统，分析了两次强度对比台风事件中的微生物演替。高通量测序和环境数据与多种机器学习模型相结合，以确定细菌群落对浮游植物多样性的影响模式。 SHAP 分析用于量化特征贡献并检测阈值效应，网络分析用于表征演替阶段的跨领域相互作用。 结果 尽管 Prapiroon 引起更强的位移（细菌为 2. 38 倍，浮游植物为 2. 53 倍），但微生物群落在两种台风下表现出一致的方向演替。随机森林取得了最佳的预测性能（R 2 = 0. 74，RMSE = 0. 23）。温度和稀有分类单元蛭弧菌被确定为关键驱动因素，显示出明显的阈值效应：浮游植物多样性在 30. 76 °C 以上下降，当蛭弧菌超过 0. 02% 时则增加。多样性在扰乱后立即达到顶峰，并在恢复过程中下降，表明存在阶段依赖的监管转变。微生物网络遵循“崩溃-重组-恢复”的轨迹，反映了生态系统的恢复力。 结论我们的研究结果揭示了台风干扰下微生物演替的可预测的、阶段依赖的框架，由环境过滤和生物相互作用驱动。确定的阈值和微生物指标为识别水华风险升高的关键时间窗口提供了基础，凸显了将微生物数据与机器学习相结合以实现适应性沿海管理的潜力。</w:t>
      </w:r>
    </w:p>
    <w:p>
      <w:r>
        <w:rPr>
          <w:rFonts w:ascii="Microsoft YaHei" w:hAnsi="Microsoft YaHei" w:eastAsia="Microsoft YaHei"/>
          <w:color w:val="0563C1"/>
          <w:sz w:val="18"/>
        </w:rPr>
        <w:t>链接：https://doi.org/10.1186/s12866-026-05387-9</w:t>
      </w:r>
    </w:p>
    <w:p>
      <w:pPr>
        <w:pStyle w:val="Heading3"/>
      </w:pPr>
      <w:r>
        <w:rPr>
          <w:rFonts w:ascii="Microsoft YaHei" w:hAnsi="Microsoft YaHei" w:eastAsia="Microsoft YaHei"/>
          <w:b/>
        </w:rPr>
        <w:t>4. Nitrogen fixation rates increase with diazotroph richness in the global ocean</w:t>
      </w:r>
    </w:p>
    <w:p>
      <w:r>
        <w:rPr>
          <w:rFonts w:ascii="Microsoft YaHei" w:hAnsi="Microsoft YaHei" w:eastAsia="Microsoft YaHei"/>
          <w:color w:val="55697D"/>
          <w:sz w:val="18"/>
        </w:rPr>
        <w:t>作者：Dominic Eriksson; Damiano Righetti; Fabio Benedetti; Nicolas Gruber; Lucas Paoli; Guillem Salazar; Shinichi Sunagawa; Meike Vogt</w:t>
      </w:r>
    </w:p>
    <w:p>
      <w:r>
        <w:rPr>
          <w:rFonts w:ascii="Microsoft YaHei" w:hAnsi="Microsoft YaHei" w:eastAsia="Microsoft YaHei"/>
          <w:color w:val="55697D"/>
          <w:sz w:val="18"/>
        </w:rPr>
        <w:t>期刊：Scientific Reports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DOI：10.1038/s41598-026-61132-2</w:t>
      </w:r>
    </w:p>
    <w:p>
      <w:r>
        <w:rPr>
          <w:rFonts w:ascii="Microsoft YaHei" w:hAnsi="Microsoft YaHei" w:eastAsia="Microsoft YaHei"/>
          <w:b/>
          <w:sz w:val="19"/>
        </w:rPr>
        <w:t>关键词：ocean biogeochemistry</w:t>
      </w:r>
    </w:p>
    <w:p>
      <w:r>
        <w:rPr>
          <w:rFonts w:ascii="Microsoft YaHei" w:hAnsi="Microsoft YaHei" w:eastAsia="Microsoft YaHei"/>
          <w:sz w:val="17"/>
        </w:rPr>
        <w:t>摘要：海洋固氮是支持和维持海洋初级生产的关键过程，但我们对能够固氮的固氮微生物的分布和多样性的了解非常有限。在这里，通过整合微观和宏基因组数据，我们确定了全球海洋主要固氮类群的生物地理学和丰富度。通过分析 22,000 个记录和 15 个物种，我们推断出固氮生物丰富度的纬度梯度，其中热带地区的丰富度较高，这是由温度和营养水平驱动的。蓝藻在营养贫乏的环流中占主导地位，而非蓝藻固氮菌则在营养丰富的区域繁衍生息。在全球海洋中，固氮生物丰富度与固氮率呈正相关，表明生物多样性与生态系统功能之间存在正相关关系。 虽然这种关系对于空间自相关和混杂的环境驱动因素来说是稳健的，但全球数据集中的空间依赖性和潜在的未测量协变量可能会影响局部尺度的推论。研究结果表明，海洋浮游生物中存在着积极的生物多样性与生态系统功能关系，对全球生物地球化学循环具有影响。</w:t>
      </w:r>
    </w:p>
    <w:p>
      <w:r>
        <w:rPr>
          <w:rFonts w:ascii="Microsoft YaHei" w:hAnsi="Microsoft YaHei" w:eastAsia="Microsoft YaHei"/>
          <w:color w:val="0563C1"/>
          <w:sz w:val="18"/>
        </w:rPr>
        <w:t>链接：https://doi.org/10.1038/s41598-026-61132-2</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