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检索日期：2026-07-17 | GitHub Actions 自动生成</w:t>
      </w:r>
    </w:p>
    <w:p>
      <w:pPr>
        <w:pStyle w:val="Heading1"/>
      </w:pPr>
      <w:r>
        <w:t>今日总览</w:t>
      </w:r>
    </w:p>
    <w:p>
      <w:r>
        <w:rPr>
          <w:rFonts w:ascii="Microsoft YaHei" w:hAnsi="Microsoft YaHei" w:eastAsia="Microsoft YaHei"/>
        </w:rPr>
        <w:t>历史去重后今日新增 7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Disentangling the structure of an Antarctic plankton food web in bloom and non-bloom conditions</w:t>
      </w:r>
    </w:p>
    <w:p>
      <w:r>
        <w:rPr>
          <w:rFonts w:ascii="Microsoft YaHei" w:hAnsi="Microsoft YaHei" w:eastAsia="Microsoft YaHei"/>
          <w:color w:val="55697D"/>
          <w:sz w:val="18"/>
        </w:rPr>
        <w:t>作者：Sarah L. Mayr; Irene R. Schloss; Maximiliano D. Garcia; Gastón O. Almandoz; Julieta S. Antoni; Tomás I. Marina</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DOI：10.3389/fmars.2026.1868956</w:t>
      </w:r>
    </w:p>
    <w:p>
      <w:r>
        <w:rPr>
          <w:rFonts w:ascii="Microsoft YaHei" w:hAnsi="Microsoft YaHei" w:eastAsia="Microsoft YaHei"/>
          <w:b/>
          <w:sz w:val="19"/>
        </w:rPr>
        <w:t>关键词：phytoplankton</w:t>
      </w:r>
    </w:p>
    <w:p>
      <w:r>
        <w:rPr>
          <w:rFonts w:ascii="Microsoft YaHei" w:hAnsi="Microsoft YaHei" w:eastAsia="Microsoft YaHei"/>
          <w:sz w:val="17"/>
        </w:rPr>
        <w:t>摘要：尽管浮游植物在南极海洋生态系统中发挥着重要作用，但浮游生物之间的营养动态在很大程度上仍未被探索。本研究旨在通过使用基于网络的方法检查浮游植物开花和非开花条件下波特湾浮游生物群落的营养结构和动态来填补这一空白。为了比较两种对比条件，从可用的 30 年时间序列中选择开花季节和非开花季节，并将相互作用强度添加到这些特定年份的食物网模型中。在水华条件下，存在更多具有更高营养级和更高相互作用强度的营养物种，这表明与非水华条件相比，更高营养级的食物可用性更大。 在非水华条件下，微型浮游动物在将能量传递到更高营养级方面发挥着更重要的作用。这项研究使人们更好地了解南极浮游生物群落内的能量流和微型浮游动物的重要性，增强我们预测环境变化（包括气候变化）对极地海洋生态系统影响的能力。</w:t>
      </w:r>
    </w:p>
    <w:p>
      <w:r>
        <w:rPr>
          <w:rFonts w:ascii="Microsoft YaHei" w:hAnsi="Microsoft YaHei" w:eastAsia="Microsoft YaHei"/>
          <w:color w:val="0563C1"/>
          <w:sz w:val="18"/>
        </w:rPr>
        <w:t>链接：https://doi.org/10.3389/fmars.2026.1868956</w:t>
      </w:r>
    </w:p>
    <w:p>
      <w:pPr>
        <w:pStyle w:val="Heading3"/>
      </w:pPr>
      <w:r>
        <w:rPr>
          <w:rFonts w:ascii="Microsoft YaHei" w:hAnsi="Microsoft YaHei" w:eastAsia="Microsoft YaHei"/>
          <w:b/>
        </w:rPr>
        <w:t>2. A Lightweight Field-to-Site Coupled Framework for 15-Day Sea Surface Temperature Forecasting in Marine Ranching Areas: A Case Study in the Northern Yellow Sea</w:t>
      </w:r>
    </w:p>
    <w:p>
      <w:r>
        <w:rPr>
          <w:rFonts w:ascii="Microsoft YaHei" w:hAnsi="Microsoft YaHei" w:eastAsia="Microsoft YaHei"/>
          <w:color w:val="55697D"/>
          <w:sz w:val="18"/>
        </w:rPr>
        <w:t>作者：Boyi Zhao; Hanquan Yang; Yan Bai; Zhihong Wang; Xianqiang He; Ming Li</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DOI：10.3390/rs18142374</w:t>
      </w:r>
    </w:p>
    <w:p>
      <w:r>
        <w:rPr>
          <w:rFonts w:ascii="Microsoft YaHei" w:hAnsi="Microsoft YaHei" w:eastAsia="Microsoft YaHei"/>
          <w:b/>
          <w:sz w:val="19"/>
        </w:rPr>
        <w:t>关键词：marine heatwaves</w:t>
      </w:r>
    </w:p>
    <w:p>
      <w:r>
        <w:rPr>
          <w:rFonts w:ascii="Microsoft YaHei" w:hAnsi="Microsoft YaHei" w:eastAsia="Microsoft YaHei"/>
          <w:sz w:val="17"/>
        </w:rPr>
        <w:t>摘要：海面温度（SST）异常对海洋牧场系统的运营安全和生产力构成严重威胁。本研究以北黄海典型海洋牧场区为研究区，建立了轻量级两阶段逐点预报框架。在第一阶段，采用卷积长短期记忆网络（ConvLSTM）来生成 1-5 天的区域海温预报。通过涉及 24 个输入配置的实验，最佳插值海面温度 (OISST)、季节和趋势分量以及 ERA5 气象变量的组合被确定为最佳配置，为目标位置提供空间演化约束。 在第二阶段，将 5 天的目标站点预报与 OISST 连接起来，构建一个 60 天的序列，然后用于驱动轻量级门控循环单元 (GRU)，以进行第 6 天到第 15 天的扩展预报。该策略将预测任务重新表述为空间受限的 10 天扩展预报，从而抑制长提前误差累积。结果表明，在区域预报阶段，第 5 天的 RMSE 为 0. 83 °C，MAE 为 0. 63 °C，而在扩展预报阶段，第 15 天的 RMSE 为 0. 89 °C，MAE 为 0. 69 °C。与单阶段 ConvLSTM 和 GRU 模型直接进行 15 天预报相比，现场到站点策略减少了RMSE 分别约 25. 21% 和 9. 18%，MAE 分别约 24. 18% 和 8. 00%。 针对原位浮标观测的独立验证进一步表明，与 OISST 和浮标观测之间的固有差异相比，所提出的框架仅引入了有限的额外误差。在代表性海洋热浪 (MHW) 条件下进行的额外测试表明，该框架在异常变暖条件下保留了有用的预测技能。此外，其在黄海北部另外五个海洋牧场的扩展应用实验产生了一致的预测性能，平均 RMSE 和 MAE 范围分别为 0. 71 °C 至 0. 75 °C 和 0. 53 °C 至 0. 56 °C。因此，所提出的方法可以为海洋牧场管理提供至少两周的风险预警窗口，并支持及时的操作决策，以减轻与温度相关的风险和精细化水产养殖管理。</w:t>
      </w:r>
    </w:p>
    <w:p>
      <w:r>
        <w:rPr>
          <w:rFonts w:ascii="Microsoft YaHei" w:hAnsi="Microsoft YaHei" w:eastAsia="Microsoft YaHei"/>
          <w:color w:val="0563C1"/>
          <w:sz w:val="18"/>
        </w:rPr>
        <w:t>链接：https://doi.org/10.3390/rs18142374</w:t>
      </w:r>
    </w:p>
    <w:p>
      <w:pPr>
        <w:pStyle w:val="Heading3"/>
      </w:pPr>
      <w:r>
        <w:rPr>
          <w:rFonts w:ascii="Microsoft YaHei" w:hAnsi="Microsoft YaHei" w:eastAsia="Microsoft YaHei"/>
          <w:b/>
        </w:rPr>
        <w:t>3. Observing Ocean Conditions: Prior and Post Cyclone ‘Tauktae’ Using Satellite and In-situ Data</w:t>
      </w:r>
    </w:p>
    <w:p>
      <w:r>
        <w:rPr>
          <w:rFonts w:ascii="Microsoft YaHei" w:hAnsi="Microsoft YaHei" w:eastAsia="Microsoft YaHei"/>
          <w:color w:val="55697D"/>
          <w:sz w:val="18"/>
        </w:rPr>
        <w:t>作者：Kesavakumar Balakrishnan; Suchandra Aich Bhowmick; Venkatesan Ramasamy; Shanmugam Palanisamy; Ram Kumar Giri; M. Jishad; Anup Kumar Mandal; M. Seemanth; et al.</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DOI：10.1007/s12524-026-02520-z</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链接：https://doi.org/10.1007/s12524-026-02520-z</w:t>
      </w:r>
    </w:p>
    <w:p>
      <w:pPr>
        <w:pStyle w:val="Heading2"/>
      </w:pPr>
      <w:r>
        <w:t>重点关注团队</w:t>
      </w:r>
    </w:p>
    <w:p>
      <w:pPr>
        <w:pStyle w:val="Heading3"/>
      </w:pPr>
      <w:r>
        <w:rPr>
          <w:rFonts w:ascii="Microsoft YaHei" w:hAnsi="Microsoft YaHei" w:eastAsia="Microsoft YaHei"/>
          <w:b/>
        </w:rPr>
        <w:t>4. Success and limits of reconstructing phytoplankton pigment temporal variations from simultaneous surface ocean physics with a Unet model</w:t>
      </w:r>
    </w:p>
    <w:p>
      <w:r>
        <w:rPr>
          <w:rFonts w:ascii="Microsoft YaHei" w:hAnsi="Microsoft YaHei" w:eastAsia="Microsoft YaHei"/>
          <w:color w:val="55697D"/>
          <w:sz w:val="18"/>
        </w:rPr>
        <w:t>作者：Luther Ollier; Roy El Hourany; Sylvie Thiria; Carlos E Mejia; Gregory Beaugrand; Marina Levy</w:t>
      </w:r>
    </w:p>
    <w:p>
      <w:r>
        <w:rPr>
          <w:rFonts w:ascii="Microsoft YaHei" w:hAnsi="Microsoft YaHei" w:eastAsia="Microsoft YaHei"/>
          <w:color w:val="55697D"/>
          <w:sz w:val="18"/>
        </w:rPr>
        <w:t>期刊：Machine Learning: Earth</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DOI：10.1088/3049-4753/ae8bb2</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链接：https://doi.org/10.1088/3049-4753/ae8bb2</w:t>
      </w:r>
    </w:p>
    <w:p>
      <w:pPr>
        <w:pStyle w:val="Heading2"/>
      </w:pPr>
      <w:r>
        <w:t>其他相关期刊：按主题相关性补充</w:t>
      </w:r>
    </w:p>
    <w:p>
      <w:pPr>
        <w:pStyle w:val="Heading3"/>
      </w:pPr>
      <w:r>
        <w:rPr>
          <w:rFonts w:ascii="Microsoft YaHei" w:hAnsi="Microsoft YaHei" w:eastAsia="Microsoft YaHei"/>
          <w:b/>
        </w:rPr>
        <w:t>5. Marine heatwaves detection in the Seto Inland Sea, Japan, based on OISST data analysis</w:t>
      </w:r>
    </w:p>
    <w:p>
      <w:r>
        <w:rPr>
          <w:rFonts w:ascii="Microsoft YaHei" w:hAnsi="Microsoft YaHei" w:eastAsia="Microsoft YaHei"/>
          <w:color w:val="55697D"/>
          <w:sz w:val="18"/>
        </w:rPr>
        <w:t>作者：Kazuhiro Aoki; Goh Onitsuka</w:t>
      </w:r>
    </w:p>
    <w:p>
      <w:r>
        <w:rPr>
          <w:rFonts w:ascii="Microsoft YaHei" w:hAnsi="Microsoft YaHei" w:eastAsia="Microsoft YaHei"/>
          <w:color w:val="55697D"/>
          <w:sz w:val="18"/>
        </w:rPr>
        <w:t>期刊：Regional Studies in Marine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DOI：10.1016/j.rsma.2026.105263</w:t>
      </w:r>
    </w:p>
    <w:p>
      <w:r>
        <w:rPr>
          <w:rFonts w:ascii="Microsoft YaHei" w:hAnsi="Microsoft YaHei" w:eastAsia="Microsoft YaHei"/>
          <w:b/>
          <w:sz w:val="19"/>
        </w:rPr>
        <w:t>关键词：marine heatwaves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链接：https://doi.org/10.1016/j.rsma.2026.105263</w:t>
      </w:r>
    </w:p>
    <w:p>
      <w:pPr>
        <w:pStyle w:val="Heading3"/>
      </w:pPr>
      <w:r>
        <w:rPr>
          <w:rFonts w:ascii="Microsoft YaHei" w:hAnsi="Microsoft YaHei" w:eastAsia="Microsoft YaHei"/>
          <w:b/>
        </w:rPr>
        <w:t>6. Diurnal variability of the deep chlorophyll maximum in the Bay of Bengal.</w:t>
      </w:r>
    </w:p>
    <w:p>
      <w:r>
        <w:rPr>
          <w:rFonts w:ascii="Microsoft YaHei" w:hAnsi="Microsoft YaHei" w:eastAsia="Microsoft YaHei"/>
          <w:color w:val="55697D"/>
          <w:sz w:val="18"/>
        </w:rPr>
        <w:t>作者：Pavithra Balamurugan; Alexkirubakaran Augustin Raj; Saravanakumar Ayyapan</w:t>
      </w:r>
    </w:p>
    <w:p>
      <w:r>
        <w:rPr>
          <w:rFonts w:ascii="Microsoft YaHei" w:hAnsi="Microsoft YaHei" w:eastAsia="Microsoft YaHei"/>
          <w:color w:val="55697D"/>
          <w:sz w:val="18"/>
        </w:rPr>
        <w:t>期刊：Regional Studies in Marine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DOI：10.1016/j.rsma.2026.105264</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链接：https://doi.org/10.1016/j.rsma.2026.105264</w:t>
      </w:r>
    </w:p>
    <w:p>
      <w:pPr>
        <w:pStyle w:val="Heading3"/>
      </w:pPr>
      <w:r>
        <w:rPr>
          <w:rFonts w:ascii="Microsoft YaHei" w:hAnsi="Microsoft YaHei" w:eastAsia="Microsoft YaHei"/>
          <w:b/>
        </w:rPr>
        <w:t>7. Short-term pH variability reshapes phytoplankton and microzooplankton communities in the northern Indian Ocean</w:t>
      </w:r>
    </w:p>
    <w:p>
      <w:r>
        <w:rPr>
          <w:rFonts w:ascii="Microsoft YaHei" w:hAnsi="Microsoft YaHei" w:eastAsia="Microsoft YaHei"/>
          <w:color w:val="55697D"/>
          <w:sz w:val="18"/>
        </w:rPr>
        <w:t>作者：Sai Elangovan S; Siva Kiran Kumar Busala; Bhaskara Rao Dokala; Bikram Reddy; Swarnaprava Behera; G V M Gupta</w:t>
      </w:r>
    </w:p>
    <w:p>
      <w:r>
        <w:rPr>
          <w:rFonts w:ascii="Microsoft YaHei" w:hAnsi="Microsoft YaHei" w:eastAsia="Microsoft YaHei"/>
          <w:color w:val="55697D"/>
          <w:sz w:val="18"/>
        </w:rPr>
        <w:t>期刊：Journal of Plankton Research</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DOI：10.1093/plankt/fbag047</w:t>
      </w:r>
    </w:p>
    <w:p>
      <w:r>
        <w:rPr>
          <w:rFonts w:ascii="Microsoft YaHei" w:hAnsi="Microsoft YaHei" w:eastAsia="Microsoft YaHei"/>
          <w:b/>
          <w:sz w:val="19"/>
        </w:rPr>
        <w:t>关键词：phytoplankton; microbial carbon</w:t>
      </w:r>
    </w:p>
    <w:p>
      <w:r>
        <w:rPr>
          <w:rFonts w:ascii="Microsoft YaHei" w:hAnsi="Microsoft YaHei" w:eastAsia="Microsoft YaHei"/>
          <w:sz w:val="17"/>
        </w:rPr>
        <w:t>摘要：浮游植物和微型浮游动物（MZP）是海洋食物网的关键组成部分，通过微生物循环驱动碳转移。 2022 年，使用来自孟加拉湾 (BoB) 和阿拉伯海 (AS) 的海水进行了短期实验室缩影瓶孵化，研究了 pH 值降低的影响。浮游植物生物量 (Chl-a) 在低 pH 值下保持稳定或增加高达 12%，表明放牧减少或猎物质量提高。 MZP 多样性（香农指数，H'）显示出流域特定的响应。在 BoB（实验 1-2）中，H′ 的范围为 2. 00-3。 70，均匀度较高 (J′ = 0. 93–1. 00)，中等酸化下略有下降 (ΔpH = 0. 2)。相比之下，AS（实验3-4）表现出更广泛的变异性（H′ = 0. 00-3. 63）和更高的敏感性，在更强的酸化（ΔpH = 0. 4）下多样性急剧下降。 AS组合表现出明显的丰富度下降（D′ = 2. 85–0. 00），而BoB社区保持稳定。区域和 pH 相关的差异与纤毛虫和甲藻的变化有关。自养细菌在低pH值下持续存在，而异养细菌随后增加，表明微生物循环功能发生了改变。总体而言，pH、叶绿素-a 和异养细菌构成了群落，占变异的 65% 以上。因此，短期酸化会重塑 MZP 组合，并可能改变整个北印度洋的营养相互作用。</w:t>
      </w:r>
    </w:p>
    <w:p>
      <w:r>
        <w:rPr>
          <w:rFonts w:ascii="Microsoft YaHei" w:hAnsi="Microsoft YaHei" w:eastAsia="Microsoft YaHei"/>
          <w:color w:val="0563C1"/>
          <w:sz w:val="18"/>
        </w:rPr>
        <w:t>链接：https://doi.org/10.1093/plankt/fbag047</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