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检索日期：2026-07-25 | GitHub Actions 自动生成</w:t>
      </w:r>
    </w:p>
    <w:p>
      <w:pPr>
        <w:pStyle w:val="Heading1"/>
      </w:pPr>
      <w:r>
        <w:t>今日总览</w:t>
      </w:r>
    </w:p>
    <w:p>
      <w:r>
        <w:rPr>
          <w:rFonts w:ascii="Microsoft YaHei" w:hAnsi="Microsoft YaHei" w:eastAsia="Microsoft YaHei"/>
        </w:rPr>
        <w:t>历史去重后今日新增 9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Lateral Coastal Blue Carbon Export Fuels a Deep‐Ocean Carbon Sink in an Oligotrophic Warm Pool</w:t>
      </w:r>
    </w:p>
    <w:p>
      <w:r>
        <w:rPr>
          <w:rFonts w:ascii="Microsoft YaHei" w:hAnsi="Microsoft YaHei" w:eastAsia="Microsoft YaHei"/>
          <w:color w:val="55697D"/>
          <w:sz w:val="18"/>
        </w:rPr>
        <w:t>作者：Hsueh‐Han Hsieh; Yung‐Yen Shih; Chun‐Hoe Chow; Tzu‐Chieh Chung; Syun‐Han Wu; Vicente G. Abedneko; Chin‐Hsin Liao; Tse‐Min Lee; et al.</w:t>
      </w:r>
    </w:p>
    <w:p>
      <w:r>
        <w:rPr>
          <w:rFonts w:ascii="Microsoft YaHei" w:hAnsi="Microsoft YaHei" w:eastAsia="Microsoft YaHei"/>
          <w:color w:val="55697D"/>
          <w:sz w:val="18"/>
        </w:rPr>
        <w:t>期刊：Global Biogeochemical Cycles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DOI：10.1029/2025gb009034</w:t>
      </w:r>
    </w:p>
    <w:p>
      <w:r>
        <w:rPr>
          <w:rFonts w:ascii="Microsoft YaHei" w:hAnsi="Microsoft YaHei" w:eastAsia="Microsoft YaHei"/>
          <w:b/>
          <w:sz w:val="19"/>
        </w:rPr>
        <w:t>关键词：carbon pump; vertical structure</w:t>
      </w:r>
    </w:p>
    <w:p>
      <w:r>
        <w:rPr>
          <w:rFonts w:ascii="Microsoft YaHei" w:hAnsi="Microsoft YaHei" w:eastAsia="Microsoft YaHei"/>
          <w:sz w:val="17"/>
        </w:rPr>
        <w:t>摘要：沿海蓝碳（CBC）生态系统向近海输出有机物，但它们对深海碳封存的贡献仍然没有充分量化。我们测量了部署在北太平洋西部暖池 150、500 和 1,000 米深度的沉积物捕集器的深度分辨颗粒有机碳 (POC) 通量、δ 13 C 特征和环境 DNA (eDNA)。 1,000 m 处的 POC 通量比经典衰减模型预测的高出两到四倍，表明垂直出口和横向输入共同驱动了有效的深水输送。来自沉没颗粒的 eDNA 揭示了整个中上层和深海层的大型藻类、红树林和海草类群，证明了 CBC 材料的长距离运输。 δ 13 C 值主要显示来自海洋的 POC，但在深度仍存在可测量的 CBC 贡献。 这些观察结果确定了一条以前未被充分认识的连接沿海植被与寡营养环流系统中的深海碳储存的途径。他们还强调需要进行真实的生物碳泵（BCP）测量，特别是对于土地面积较小但专属经济区（EEZ）较大的海洋岛国来说，准确的碳核算取决于基于模型的估计的现场验证。</w:t>
      </w:r>
    </w:p>
    <w:p>
      <w:r>
        <w:rPr>
          <w:rFonts w:ascii="Microsoft YaHei" w:hAnsi="Microsoft YaHei" w:eastAsia="Microsoft YaHei"/>
          <w:color w:val="0563C1"/>
          <w:sz w:val="18"/>
        </w:rPr>
        <w:t>链接：https://doi.org/10.1029/2025gb009034</w:t>
      </w:r>
    </w:p>
    <w:p>
      <w:pPr>
        <w:pStyle w:val="Heading3"/>
      </w:pPr>
      <w:r>
        <w:rPr>
          <w:rFonts w:ascii="Microsoft YaHei" w:hAnsi="Microsoft YaHei" w:eastAsia="Microsoft YaHei"/>
          <w:b/>
        </w:rPr>
        <w:t>2. Distributions and Emissions of Marine Isoprene and Monoterpenes in the Northeastern South China Sea: Roles of Biological Control and Responses to an Anticyclonic Eddy</w:t>
      </w:r>
    </w:p>
    <w:p>
      <w:r>
        <w:rPr>
          <w:rFonts w:ascii="Microsoft YaHei" w:hAnsi="Microsoft YaHei" w:eastAsia="Microsoft YaHei"/>
          <w:color w:val="55697D"/>
          <w:sz w:val="18"/>
        </w:rPr>
        <w:t>作者：Dan‐Dan Liang; Jian Wang; Feng Xu; Shi‐Min Yang; Cheng‐Shuai Li; Yao Gao; Gao‐Bin Xu; Hong‐Hai Zhang</w:t>
      </w:r>
    </w:p>
    <w:p>
      <w:r>
        <w:rPr>
          <w:rFonts w:ascii="Microsoft YaHei" w:hAnsi="Microsoft YaHei" w:eastAsia="Microsoft YaHei"/>
          <w:color w:val="55697D"/>
          <w:sz w:val="18"/>
        </w:rPr>
        <w:t>期刊：Journal of Geophysical Research: Oceans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DOI：10.1029/2025jc023939</w:t>
      </w:r>
    </w:p>
    <w:p>
      <w:r>
        <w:rPr>
          <w:rFonts w:ascii="Microsoft YaHei" w:hAnsi="Microsoft YaHei" w:eastAsia="Microsoft YaHei"/>
          <w:b/>
          <w:sz w:val="19"/>
        </w:rPr>
        <w:t>关键词：phytoplankton</w:t>
      </w:r>
    </w:p>
    <w:p>
      <w:r>
        <w:rPr>
          <w:rFonts w:ascii="Microsoft YaHei" w:hAnsi="Microsoft YaHei" w:eastAsia="Microsoft YaHei"/>
          <w:sz w:val="17"/>
        </w:rPr>
        <w:t>摘要：异戊二烯和单萜是生物挥发性有机化合物 (BVOC) 的关键成分，在二次有机气溶胶 (SOA) 形成和气候调节中发挥着关键作用。海洋是异戊二烯和单萜的重要但长期被忽视的来源。这项研究基于2022年9月在南海东北部的实地观测，首次报告了海洋单萜分布和海气通量，并探讨了它们对中尺度反气旋涡的生物控制和响应。表层海水中异戊二烯、α-蒎烯、莰烯和柠檬烯的平均±标准差 (SD) 浓度分别为 47. 1 ± 17. 8、0. 60 ± 0. 33、1. 28 ± 0. 41 和 0. 40 ± 0. 15 pmol L -1。 与涡流边缘相比，它们在涡流核心的浓度降低了18%~95%，这是由于涡流内浮游植物生物量的减少和群落的变化造成的。两个 BVOC 组之间浓度响应大小的差异可能与浮游植物物种生物合成速率的变异性有关。异戊二烯、α-蒎烯、莰烯和柠檬烯的海气通量范围为（平均值±标准差）1. 84–283（86. 2 ± 71. 3）、0. 15–11。 6 (2. 77 ± 2. 41), 0. 77–31。 9 (6. 30 ± 6. 25) 和 0. 16–6。分别为 87 (1. 89 ± 1. 53) nmol m -2 d -1 。南海东北部可能是大气异戊二烯和单萜的重要来源；然而，当反气旋涡发生时，其贡献将显着减少。 此外，三种单萜表现出比异戊二烯更高的大气反应性，并且对 SOA 形成的贡献大约高 2. 3 倍，强调了它们对大气和气候的重大影响。</w:t>
      </w:r>
    </w:p>
    <w:p>
      <w:r>
        <w:rPr>
          <w:rFonts w:ascii="Microsoft YaHei" w:hAnsi="Microsoft YaHei" w:eastAsia="Microsoft YaHei"/>
          <w:color w:val="0563C1"/>
          <w:sz w:val="18"/>
        </w:rPr>
        <w:t>链接：https://doi.org/10.1029/2025jc023939</w:t>
      </w:r>
    </w:p>
    <w:p>
      <w:pPr>
        <w:pStyle w:val="Heading3"/>
      </w:pPr>
      <w:r>
        <w:rPr>
          <w:rFonts w:ascii="Microsoft YaHei" w:hAnsi="Microsoft YaHei" w:eastAsia="Microsoft YaHei"/>
          <w:b/>
        </w:rPr>
        <w:t>3. Seasonal upwelling–dust controls on export production in the Canary Current System revealed by Lagrangian particle tracking</w:t>
      </w:r>
    </w:p>
    <w:p>
      <w:r>
        <w:rPr>
          <w:rFonts w:ascii="Microsoft YaHei" w:hAnsi="Microsoft YaHei" w:eastAsia="Microsoft YaHei"/>
          <w:color w:val="55697D"/>
          <w:sz w:val="18"/>
        </w:rPr>
        <w:t>作者：Catarina V. Guerreiro; Bror F. Jonsson; Peter Land; Javier Arístegui; Jan-Berend Stuut; Afonso Ferreira; Gavin H. Tilstone; Vanda Brotas; et al.</w:t>
      </w:r>
    </w:p>
    <w:p>
      <w:r>
        <w:rPr>
          <w:rFonts w:ascii="Microsoft YaHei" w:hAnsi="Microsoft YaHei" w:eastAsia="Microsoft YaHei"/>
          <w:color w:val="55697D"/>
          <w:sz w:val="18"/>
        </w:rPr>
        <w:t>期刊：Biogeosciences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DOI：10.5194/bg-23-5133-2026</w:t>
      </w:r>
    </w:p>
    <w:p>
      <w:r>
        <w:rPr>
          <w:rFonts w:ascii="Microsoft YaHei" w:hAnsi="Microsoft YaHei" w:eastAsia="Microsoft YaHei"/>
          <w:b/>
          <w:sz w:val="19"/>
        </w:rPr>
        <w:t>关键词：carbon pump; phytoplankton; bio-optics; vertical structure</w:t>
      </w:r>
    </w:p>
    <w:p>
      <w:r>
        <w:rPr>
          <w:rFonts w:ascii="Microsoft YaHei" w:hAnsi="Microsoft YaHei" w:eastAsia="Microsoft YaHei"/>
          <w:sz w:val="17"/>
        </w:rPr>
        <w:t>摘要：加那利洋流系统（CCS）是一个主要的东部边界上升流系统，这里强大的近岸生产力、动态的近海输送和撒哈拉尘埃沉积共同塑造了生物地球化学循环。了解这些物理和大气强迫如何调节颗粒物输出对于评估北大西洋持续变暖情况下的生物碳泵至关重要。在这里，我们将卫星衍生的叶绿素-a (Chl-a)、颗粒无机碳 (PIC) 和初级生产 (PP) 的拉格朗日回溯与来自系泊点 CB (21° N, 20° W) 和 M1 (12° N, 23° W) 的颗石物种、生物颗粒和成石物质（风尘通量的代表）的一年沉积物捕集通量结合起来，代表了近海不同的开放海洋环境非洲西北部。 这些通量进一步与来自卫星的上升流指数、海面高度（SSH）、气溶胶光学深度（AOD）以及在陷阱位置收集的原位水柱观测数据相结合。结果揭示了沿海上升流、近海运输和深海输出之间存在很强的季节性联系。冬末至春季混合、上升流和丝状/涡流活动的增强，维持了叶绿素a、PP、PIC和高CaCO3通量的升高，下沉组合以快速开花（r选择）的板石藻为主——尤其是在CB。拉格朗日轨迹进一步表明，这种连通性在近海减弱，从海岸到公海的 Chl-a、PP 和 PIC 急剧下降（特别是沿着通往 M1 的路径），凸显了跨大陆架转移的减少以及该地点热带分层水域的全年影响更强。 夏秋期间，上升流减弱和毛里塔尼亚洋流温暖水域的入侵降低了两个圈闭地点的表面生产力，但深层有机质输出量仍然很高，尤其是在 CB 处，但在持续贫营养的 M1 处也如此。在此期间，撒哈拉沙尘沉积量增加，同时颗粒通量增加。多变量统计分析显示，灰尘与所有上光带 (UPZ) 生产力指标之间存在很强的负相关性，包括叶绿素-a、地表物种与下光带分类单元的比率 (UPZ / LPZ)，以及与形成板石的物种 Emiliania huxleyi 和 Calcidiscus leptoporus 相关的碳酸盐通量。 相比之下，灰尘与以热带非开花 LPZ 物种（Florisphaera profunda 和 Gladiolithus flellatus）为主的温暖分层条件呈正相关，这表明矿物压载是主要的季节性灰尘效应。在CB，夏季跨陆架转移减弱，无论地表叶绿素a水平如何，高出口量的持续存在表明先前产生的有机物的侧向和地下供应发挥了主要作用，撒哈拉沙尘通过压载进一步增强了其向下转移。尽管如此，一些与灰尘相关的输出脉冲也显示出石炭酸 UPZ / LPZ 比率的增加，这表明快速开花类群的间歇性受精反应叠加在更广泛的压载驱动机制上。 重要的是，灰尘在多风、高生产力的冬末至春季条件下以及在分层的夏秋阶段都有贡献，即使在局部地表生产力较低的情况下，也能维持向下的颗粒通量。 AOD 与测量的尘埃通量之间的弱关系反映了湿沉降期间云对卫星 AOD 反演的抑制，而不是减少的尘埃沉降。总而言之，这些结果证明了中南部 CCS 出口的双重物理-大气控制。上升流和跨大陆架运输为冬春富含碳酸钙的输出机制提供了燃料，而撒哈拉沙尘在通过压载以及间歇性施肥反应维持夏秋季分层下的有机物通量方面发挥着特别重要的作用。 这些发现有助于完善对从海岸到海洋和垂直输出路径的机制理解，并有助于限制灰尘上升相互作用在未来气候强迫下如何塑造生物碳泵。</w:t>
      </w:r>
    </w:p>
    <w:p>
      <w:r>
        <w:rPr>
          <w:rFonts w:ascii="Microsoft YaHei" w:hAnsi="Microsoft YaHei" w:eastAsia="Microsoft YaHei"/>
          <w:color w:val="0563C1"/>
          <w:sz w:val="18"/>
        </w:rPr>
        <w:t>链接：https://doi.org/10.5194/bg-23-5133-2026</w:t>
      </w:r>
    </w:p>
    <w:p>
      <w:pPr>
        <w:pStyle w:val="Heading3"/>
      </w:pPr>
      <w:r>
        <w:rPr>
          <w:rFonts w:ascii="Microsoft YaHei" w:hAnsi="Microsoft YaHei" w:eastAsia="Microsoft YaHei"/>
          <w:b/>
        </w:rPr>
        <w:t>4. Floods Enhanced the Terrestrial and Marine Organic Carbon Burial in the East China Sea</w:t>
      </w:r>
    </w:p>
    <w:p>
      <w:r>
        <w:rPr>
          <w:rFonts w:ascii="Microsoft YaHei" w:hAnsi="Microsoft YaHei" w:eastAsia="Microsoft YaHei"/>
          <w:color w:val="55697D"/>
          <w:sz w:val="18"/>
        </w:rPr>
        <w:t>作者：Yanhong Xu; Zhongqiang Ji; Dong Xu; Weiyan Zhang; Lelong He; Peisong Yu; Dewang Li; Ningxiao Yu; et al.</w:t>
      </w:r>
    </w:p>
    <w:p>
      <w:r>
        <w:rPr>
          <w:rFonts w:ascii="Microsoft YaHei" w:hAnsi="Microsoft YaHei" w:eastAsia="Microsoft YaHei"/>
          <w:color w:val="55697D"/>
          <w:sz w:val="18"/>
        </w:rPr>
        <w:t>期刊：Oceanography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DOI：10.1029/2025pa005409</w:t>
      </w:r>
    </w:p>
    <w:p>
      <w:r>
        <w:rPr>
          <w:rFonts w:ascii="Microsoft YaHei" w:hAnsi="Microsoft YaHei" w:eastAsia="Microsoft YaHei"/>
          <w:b/>
          <w:sz w:val="19"/>
        </w:rPr>
        <w:t>关键词：phytoplankton</w:t>
      </w:r>
    </w:p>
    <w:p>
      <w:r>
        <w:rPr>
          <w:rFonts w:ascii="Microsoft YaHei" w:hAnsi="Microsoft YaHei" w:eastAsia="Microsoft YaHei"/>
          <w:sz w:val="17"/>
        </w:rPr>
        <w:t>摘要：洪水输送了大量的陆地有机碳（TerrOC）和营养物质，可能影响长期有机碳（OC）埋藏。洪水引起的陆地物质脉冲可以在沉积物中形成独特的事件层，为了解洪水如何随着时间的推移调节碳封存提供宝贵的档案。我们研究了东海内陆架 300 年沉积岩芯的多代理记录（例如碳同位素和脂质生物标志物），以探讨洪水对陆地和海洋 OC 埋藏的影响。远端泥质沉积物中的洪水特征会因洪水强度和频率的增加而放大，特别是对于源自上游的洪水。尽管 OC 埋藏方式从水文强迫（东亚季风和洪水）转向了人为强迫（例如。 、大坝建设和沿海富营养化）20 世纪 70 年代后，过去 300 年来，偶发性极端洪水仍然是耦合陆地和海洋 OC 埋藏的关键机制，这反映在主要洪水间隔期间 MultiTerrOC 和 MultiMarine OC 指数的同步峰值。这些一致的 OC 埋藏峰，加上较粗的颗粒和高缺氧强度，表明洪水驱动的营养脉冲刺激了浮游植物的繁殖，促进了缺氧条件，从而增强了 OC 的保存。总体而言，偶发性极端洪水通过重新分配陆地来源的 OC 并通过增强海洋 OC 埋藏刺激大气 CO 2 固定，从而促进大河流主导的大陆边缘的长期 OC 埋藏。 这一百年规模的沉积记录为重建古代海洋中的极端水文事件提供了重要的见解，并强调了在未来洪水加剧的情况下边缘海在碳固定方面日益重要的作用。</w:t>
      </w:r>
    </w:p>
    <w:p>
      <w:r>
        <w:rPr>
          <w:rFonts w:ascii="Microsoft YaHei" w:hAnsi="Microsoft YaHei" w:eastAsia="Microsoft YaHei"/>
          <w:color w:val="0563C1"/>
          <w:sz w:val="18"/>
        </w:rPr>
        <w:t>链接：https://doi.org/10.1029/2025pa005409</w:t>
      </w:r>
    </w:p>
    <w:p>
      <w:pPr>
        <w:pStyle w:val="Heading2"/>
      </w:pPr>
      <w:r>
        <w:t>重点关注团队</w:t>
      </w:r>
    </w:p>
    <w:p>
      <w:pPr>
        <w:pStyle w:val="Heading3"/>
      </w:pPr>
      <w:r>
        <w:rPr>
          <w:rFonts w:ascii="Microsoft YaHei" w:hAnsi="Microsoft YaHei" w:eastAsia="Microsoft YaHei"/>
          <w:b/>
        </w:rPr>
        <w:t>5. Multiple-stressor responses of Neopyropia yezoensis seedlings to marine heatwaves, nitrogen availability and interspecific competition</w:t>
      </w:r>
    </w:p>
    <w:p>
      <w:r>
        <w:rPr>
          <w:rFonts w:ascii="Microsoft YaHei" w:hAnsi="Microsoft YaHei" w:eastAsia="Microsoft YaHei"/>
          <w:color w:val="55697D"/>
          <w:sz w:val="18"/>
        </w:rPr>
        <w:t>作者：Ruitong Jiang; Chuchu Wang; He Li; Sufang Li; Xiucheng Shang; Hailong Wu</w:t>
      </w:r>
    </w:p>
    <w:p>
      <w:r>
        <w:rPr>
          <w:rFonts w:ascii="Microsoft YaHei" w:hAnsi="Microsoft YaHei" w:eastAsia="Microsoft YaHei"/>
          <w:color w:val="55697D"/>
          <w:sz w:val="18"/>
        </w:rPr>
        <w:t>期刊：Aquaculture International</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DOI：10.1007/s10499-026-02626-8</w:t>
      </w:r>
    </w:p>
    <w:p>
      <w:r>
        <w:rPr>
          <w:rFonts w:ascii="Microsoft YaHei" w:hAnsi="Microsoft YaHei" w:eastAsia="Microsoft YaHei"/>
          <w:b/>
          <w:sz w:val="19"/>
        </w:rPr>
        <w:t>关键词：marine heatwaves</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链接：https://doi.org/10.1007/s10499-026-02626-8</w:t>
      </w:r>
    </w:p>
    <w:p>
      <w:pPr>
        <w:pStyle w:val="Heading3"/>
      </w:pPr>
      <w:r>
        <w:rPr>
          <w:rFonts w:ascii="Microsoft YaHei" w:hAnsi="Microsoft YaHei" w:eastAsia="Microsoft YaHei"/>
          <w:b/>
        </w:rPr>
        <w:t>6. Enhanced chlorophyll-aconcentration prediction in coastal waters using transformer networks with multivariate water quality parameters</w:t>
      </w:r>
    </w:p>
    <w:p>
      <w:r>
        <w:rPr>
          <w:rFonts w:ascii="Microsoft YaHei" w:hAnsi="Microsoft YaHei" w:eastAsia="Microsoft YaHei"/>
          <w:color w:val="55697D"/>
          <w:sz w:val="18"/>
        </w:rPr>
        <w:t>作者：Xiaoyao Sun; Lichen Xu; Jiayu Hong; Yijun Chen; Yuanyuan Wang; Hangjian Feng; Sensen Wu; Zhenhong Du</w:t>
      </w:r>
    </w:p>
    <w:p>
      <w:r>
        <w:rPr>
          <w:rFonts w:ascii="Microsoft YaHei" w:hAnsi="Microsoft YaHei" w:eastAsia="Microsoft YaHei"/>
          <w:color w:val="55697D"/>
          <w:sz w:val="18"/>
        </w:rPr>
        <w:t>期刊：Journal of Hydrology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DOI：10.1016/j.jhydrol.2026.136120</w:t>
      </w:r>
    </w:p>
    <w:p>
      <w:r>
        <w:rPr>
          <w:rFonts w:ascii="Microsoft YaHei" w:hAnsi="Microsoft YaHei" w:eastAsia="Microsoft YaHei"/>
          <w:b/>
          <w:sz w:val="19"/>
        </w:rPr>
        <w:t>关键词：phytoplankton</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链接：https://doi.org/10.1016/j.jhydrol.2026.136120</w:t>
      </w:r>
    </w:p>
    <w:p>
      <w:pPr>
        <w:pStyle w:val="Heading3"/>
      </w:pPr>
      <w:r>
        <w:rPr>
          <w:rFonts w:ascii="Microsoft YaHei" w:hAnsi="Microsoft YaHei" w:eastAsia="Microsoft YaHei"/>
          <w:b/>
        </w:rPr>
        <w:t>7. Effects of Gallic Acid Supplementation on Intestinal Function and Gut Microbial Community Structure in Holothuria leucospilota</w:t>
      </w:r>
    </w:p>
    <w:p>
      <w:r>
        <w:rPr>
          <w:rFonts w:ascii="Microsoft YaHei" w:hAnsi="Microsoft YaHei" w:eastAsia="Microsoft YaHei"/>
          <w:color w:val="55697D"/>
          <w:sz w:val="18"/>
        </w:rPr>
        <w:t>作者：Wenjie Pan; Hang Yuan; Chenchen Sun; Jianfeng Xu; Yi Zhang; Zhou Qin; Jingxuan Liang; Fanjiang Ou; et al.</w:t>
      </w:r>
    </w:p>
    <w:p>
      <w:r>
        <w:rPr>
          <w:rFonts w:ascii="Microsoft YaHei" w:hAnsi="Microsoft YaHei" w:eastAsia="Microsoft YaHei"/>
          <w:color w:val="55697D"/>
          <w:sz w:val="18"/>
        </w:rPr>
        <w:t>期刊：Aquaculture Nutrition</w:t>
      </w:r>
    </w:p>
    <w:p>
      <w:r>
        <w:rPr>
          <w:rFonts w:ascii="Microsoft YaHei" w:hAnsi="Microsoft YaHei" w:eastAsia="Microsoft YaHei"/>
          <w:color w:val="55697D"/>
          <w:sz w:val="18"/>
        </w:rPr>
        <w:t>发表月份：2026-01</w:t>
      </w:r>
    </w:p>
    <w:p>
      <w:r>
        <w:rPr>
          <w:rFonts w:ascii="Microsoft YaHei" w:hAnsi="Microsoft YaHei" w:eastAsia="Microsoft YaHei"/>
          <w:color w:val="55697D"/>
          <w:sz w:val="18"/>
        </w:rPr>
        <w:t>DOI：10.1155/anu/5350878</w:t>
      </w:r>
    </w:p>
    <w:p>
      <w:r>
        <w:rPr>
          <w:rFonts w:ascii="Microsoft YaHei" w:hAnsi="Microsoft YaHei" w:eastAsia="Microsoft YaHei"/>
          <w:b/>
          <w:sz w:val="19"/>
        </w:rPr>
        <w:t>关键词：microbial carbon</w:t>
      </w:r>
    </w:p>
    <w:p>
      <w:r>
        <w:rPr>
          <w:rFonts w:ascii="Microsoft YaHei" w:hAnsi="Microsoft YaHei" w:eastAsia="Microsoft YaHei"/>
          <w:sz w:val="17"/>
        </w:rPr>
        <w:t>摘要：没食子酸（GA）是一种植物源性多酚，具有抗氧化和抗菌活性，但其作为海参功能性饲料添加剂的功效仍不清楚。在这里，我们通过综合生长性能、体壁营养成分、肠道组织形态学、消化酶和抗氧化酶活性、肠道微生物群落概况和肠道转录组反应，系统地评估了热带海参 Holothuria leucospilota 的分级膳食 GA 补充情况。海参被随机分配到含有 0、200、400、800、1600 或 3200 mg kg -1 GA 的六种饮食处理中，并饲喂 75 天。 GA 引发了明显的非线性、剂量依赖性反应。 中间剂量（GA2；400 mg kg -1 ）在目前的饲养条件下产生了相对有利的反应，增加了最终体重并增加了粗蛋白和结构蛋白相关氨基酸在体壁中的积累，同时保持了刷状缘完整性并显着增强了α-淀粉酶、脂肪酶、纤维素酶和超氧化物歧化酶（SOD）活性。转录组分析显示，GA 处理组和对照组 (Con) 之间存在明显差异，GA2 的特点是上调与消化水解、营养转运、脂质利用和氧化还原/解毒过程相关的途径。微生物组分析显示，随着 GA 的增加，群落逐渐重组，包括高剂量下变形菌门减少和厚壁菌门/杆菌富集、α 多样性减少以及属水平显着更替。 基于相关性的整合进一步解决了两个宿主-微生物相互作用模块，这些模块将微生物类群与营养同化程序或肠道屏障和免疫反应程序联系起来。总的来说，这些发现支持 GA 在狭窄的最佳剂量范围内作为 H. leucospilota 的一种有前景的功能性添加剂，同时强调了过量添加水平导致菌群失调和肠道损伤的潜在风险。</w:t>
      </w:r>
    </w:p>
    <w:p>
      <w:r>
        <w:rPr>
          <w:rFonts w:ascii="Microsoft YaHei" w:hAnsi="Microsoft YaHei" w:eastAsia="Microsoft YaHei"/>
          <w:color w:val="0563C1"/>
          <w:sz w:val="18"/>
        </w:rPr>
        <w:t>链接：https://doi.org/10.1155/anu/5350878</w:t>
      </w:r>
    </w:p>
    <w:p>
      <w:pPr>
        <w:pStyle w:val="Heading2"/>
      </w:pPr>
      <w:r>
        <w:t>其他相关期刊：按主题相关性补充</w:t>
      </w:r>
    </w:p>
    <w:p>
      <w:pPr>
        <w:pStyle w:val="Heading3"/>
      </w:pPr>
      <w:r>
        <w:rPr>
          <w:rFonts w:ascii="Microsoft YaHei" w:hAnsi="Microsoft YaHei" w:eastAsia="Microsoft YaHei"/>
          <w:b/>
        </w:rPr>
        <w:t>8. A high-resolution coupled physical-biogeochemical model of the northeastern US continental shelf: MOM6-COBALT-NEUS25v1.0</w:t>
      </w:r>
    </w:p>
    <w:p>
      <w:r>
        <w:rPr>
          <w:rFonts w:ascii="Microsoft YaHei" w:hAnsi="Microsoft YaHei" w:eastAsia="Microsoft YaHei"/>
          <w:color w:val="55697D"/>
          <w:sz w:val="18"/>
        </w:rPr>
        <w:t>作者：Dalton Kei Sasaki; Cristina Schultz; Enrique Curchitser</w:t>
      </w:r>
    </w:p>
    <w:p>
      <w:r>
        <w:rPr>
          <w:rFonts w:ascii="Microsoft YaHei" w:hAnsi="Microsoft YaHei" w:eastAsia="Microsoft YaHei"/>
          <w:color w:val="55697D"/>
          <w:sz w:val="18"/>
        </w:rPr>
        <w:t>期刊：Geoscientific Model Development</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DOI：10.5194/gmd-19-6737-2026</w:t>
      </w:r>
    </w:p>
    <w:p>
      <w:r>
        <w:rPr>
          <w:rFonts w:ascii="Microsoft YaHei" w:hAnsi="Microsoft YaHei" w:eastAsia="Microsoft YaHei"/>
          <w:b/>
          <w:sz w:val="19"/>
        </w:rPr>
        <w:t>关键词：phytoplankton; marine heatwaves; vertical structure</w:t>
      </w:r>
    </w:p>
    <w:p>
      <w:r>
        <w:rPr>
          <w:rFonts w:ascii="Microsoft YaHei" w:hAnsi="Microsoft YaHei" w:eastAsia="Microsoft YaHei"/>
          <w:sz w:val="17"/>
        </w:rPr>
        <w:t>摘要：美国东北部沿海社区依赖海洋资源，而近几十年来，海洋资源日益受到海洋变暖、海洋热浪和相关生态系统变化的影响。使用模块化海洋模型 6 (MOM6) 进行高分辨率区域海洋生物地球化学建模可以研究渔业生产、海洋二氧化碳去除和沉积物生物地球化学。美国东北部（NEUS）大陆架是采样和测量最广泛的海洋区域之一，为区域模型开发提供了有利的测试平台。在这种情况下，我们以 1/25° 分辨率对 MOM6 与 NEUS 中的碳、海洋生物地球化学和低营养层 (COBALT) 模型相结合进行评估（MOM6-COBALT-NEUS25 版本 1.0）。 该模型根据 1993 年至 2019 年期间的一套观测数据库、卫星产品、海洋再分析和气候学进行了验证，并考虑了不同的技能指标。对墨西哥湾流分离的合理表示可以根据季节结构、长期时间序列和空间变化模式的评估对大陆架参数进行现实模拟。对于温度和盐度，模型中的主要偏差位于大西洋中湾，那里的垂直和底部结构显示出取决于季节和深度的混合质量结果，而缅因湾的地表场和垂直结构结果与全球海洋再分析和其他区域模型结果具有可比性。 潮汐的加入使得冷海表面温度的区域性斑块得以发展，这是全球海洋再分析中通常不存在的特征。表面叶绿素、营养物和综合中型浮游动物的模拟生物地球化学参数显示了预期的季节结构，峰值出现在春季和秋季。模型在表示物理和生物地球化学参数方面的性能之间的差异表明，可能需要改进生物地球化学参数的边界条件，以进一步增强该领域生物地球化学的季节和年际变化的表示。尽管存在这些挑战，该版本的模型再现了 NEUS 的主要物理和生物地球化学模式，为未来的各种应用提供了坚实的基础。</w:t>
      </w:r>
    </w:p>
    <w:p>
      <w:r>
        <w:rPr>
          <w:rFonts w:ascii="Microsoft YaHei" w:hAnsi="Microsoft YaHei" w:eastAsia="Microsoft YaHei"/>
          <w:color w:val="0563C1"/>
          <w:sz w:val="18"/>
        </w:rPr>
        <w:t>链接：https://doi.org/10.5194/gmd-19-6737-2026</w:t>
      </w:r>
    </w:p>
    <w:p>
      <w:pPr>
        <w:pStyle w:val="Heading3"/>
      </w:pPr>
      <w:r>
        <w:rPr>
          <w:rFonts w:ascii="Microsoft YaHei" w:hAnsi="Microsoft YaHei" w:eastAsia="Microsoft YaHei"/>
          <w:b/>
        </w:rPr>
        <w:t>9. Thirty Years of Satellite Altimetry Technology: A Retrospective, Current Status, and Trend Analysis of Inland Water Body Monitoring Research</w:t>
      </w:r>
    </w:p>
    <w:p>
      <w:r>
        <w:rPr>
          <w:rFonts w:ascii="Microsoft YaHei" w:hAnsi="Microsoft YaHei" w:eastAsia="Microsoft YaHei"/>
          <w:color w:val="55697D"/>
          <w:sz w:val="18"/>
        </w:rPr>
        <w:t>作者：Huilin Li; Zhengkai Huang; Rumiao Sun; Siyu Zhu</w:t>
      </w:r>
    </w:p>
    <w:p>
      <w:r>
        <w:rPr>
          <w:rFonts w:ascii="Microsoft YaHei" w:hAnsi="Microsoft YaHei" w:eastAsia="Microsoft YaHei"/>
          <w:color w:val="55697D"/>
          <w:sz w:val="18"/>
        </w:rPr>
        <w:t>期刊：Water</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DOI：10.3390/w18151793</w:t>
      </w:r>
    </w:p>
    <w:p>
      <w:r>
        <w:rPr>
          <w:rFonts w:ascii="Microsoft YaHei" w:hAnsi="Microsoft YaHei" w:eastAsia="Microsoft YaHei"/>
          <w:b/>
          <w:sz w:val="19"/>
        </w:rPr>
        <w:t>关键词：ocean colour</w:t>
      </w:r>
    </w:p>
    <w:p>
      <w:r>
        <w:rPr>
          <w:rFonts w:ascii="Microsoft YaHei" w:hAnsi="Microsoft YaHei" w:eastAsia="Microsoft YaHei"/>
          <w:sz w:val="17"/>
        </w:rPr>
        <w:t>摘要：卫星测高已成为内陆水域动态监测的重要工具，广泛应用于水位反演、水文模拟、旱涝风险评估等领域。为了回顾过去三十年的研究进展和发展趋势，本研究将文献计量分析与传统综述方法相结合。分析了 1991 年至 2025 年 Web of Science 核心合集中索引的总共 4764 篇出版物。使用 VOSviewer_1。 6. 20 和 CiteSpace_6。 4、我们构建了出版趋势、学科交叉、作者协作、关键词聚类和突发演化的知识图谱。进一步定性地综合了代表性研究。结果表明，遥感、地质学和成像科学构成了该领域的核心学科框架。 研究热点已从单一水位观测转向多参数反演以及与水文模型的集成。包括地表水和海洋地形（SWOT）和冰、云和陆地高程卫星-2（ICESat-2）在内的新任务提高了空间分辨率和覆盖范围，加速了该领域的发展。然而，农业用水管理以及人工智能与水文模型的整合仍然有限。主要挑战包括监测小型和复杂的水体、多源数据融合、不确定性量化、基于物理的人工智能和操作应用。</w:t>
      </w:r>
    </w:p>
    <w:p>
      <w:r>
        <w:rPr>
          <w:rFonts w:ascii="Microsoft YaHei" w:hAnsi="Microsoft YaHei" w:eastAsia="Microsoft YaHei"/>
          <w:color w:val="0563C1"/>
          <w:sz w:val="18"/>
        </w:rPr>
        <w:t>链接：https://doi.org/10.3390/w18151793</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