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检索日期：2026-07-27 | GitHub Actions 自动生成</w:t>
      </w:r>
    </w:p>
    <w:p>
      <w:pPr>
        <w:pStyle w:val="Heading1"/>
      </w:pPr>
      <w:r>
        <w:t>今日总览</w:t>
      </w:r>
    </w:p>
    <w:p>
      <w:r>
        <w:rPr>
          <w:rFonts w:ascii="Microsoft YaHei" w:hAnsi="Microsoft YaHei" w:eastAsia="Microsoft YaHei"/>
        </w:rPr>
        <w:t>历史去重后今日新增 6 篇。排序规则：Nature 系列、Science 系列、其余重点期刊、重点关注团队、其他相关补充论文。</w:t>
      </w:r>
    </w:p>
    <w:p>
      <w:pPr>
        <w:pStyle w:val="Heading1"/>
      </w:pPr>
      <w:r>
        <w:t>论文速读</w:t>
      </w:r>
    </w:p>
    <w:p>
      <w:pPr>
        <w:pStyle w:val="Heading2"/>
      </w:pPr>
      <w:r>
        <w:t>重点期刊：按影响力和相关性排序</w:t>
      </w:r>
    </w:p>
    <w:p>
      <w:pPr>
        <w:pStyle w:val="Heading3"/>
      </w:pPr>
      <w:r>
        <w:rPr>
          <w:rFonts w:ascii="Microsoft YaHei" w:hAnsi="Microsoft YaHei" w:eastAsia="Microsoft YaHei"/>
          <w:b/>
        </w:rPr>
        <w:t>1. A pan-Arctic pigment database for phytoplankton and sea–ice algae</w:t>
      </w:r>
    </w:p>
    <w:p>
      <w:r>
        <w:rPr>
          <w:rFonts w:ascii="Microsoft YaHei" w:hAnsi="Microsoft YaHei" w:eastAsia="Microsoft YaHei"/>
          <w:color w:val="55697D"/>
          <w:sz w:val="18"/>
        </w:rPr>
        <w:t>作者：Asta C. Heidemann; Alexander Hayward; Philipp Assmy; Atreya Basu; Astrid Bracher; Giulia Castellani; Giacomo Ditullio; Katarzyna Dragańska-Deja; et al.</w:t>
      </w:r>
    </w:p>
    <w:p>
      <w:r>
        <w:rPr>
          <w:rFonts w:ascii="Microsoft YaHei" w:hAnsi="Microsoft YaHei" w:eastAsia="Microsoft YaHei"/>
          <w:color w:val="55697D"/>
          <w:sz w:val="18"/>
        </w:rPr>
        <w:t>期刊：Earth System Science Data</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DOI：10.5194/essd-18-5505-2026</w:t>
      </w:r>
    </w:p>
    <w:p>
      <w:r>
        <w:rPr>
          <w:rFonts w:ascii="Microsoft YaHei" w:hAnsi="Microsoft YaHei" w:eastAsia="Microsoft YaHei"/>
          <w:b/>
          <w:sz w:val="19"/>
        </w:rPr>
        <w:t>关键词：phytoplankton; ocean colour</w:t>
      </w:r>
    </w:p>
    <w:p>
      <w:r>
        <w:rPr>
          <w:rFonts w:ascii="Microsoft YaHei" w:hAnsi="Microsoft YaHei" w:eastAsia="Microsoft YaHei"/>
          <w:sz w:val="17"/>
        </w:rPr>
        <w:t>摘要：气候变化极大地改变了北冰洋，海冰范围和厚度显着减少，水温升高。这种变化对北冰洋许多地区的生态影响已经被描述，但生物指标的长期记录仍然缺失。其中，光合和辅助色素是帮助浮游植物和海冰藻生物量定量以及群落组成表征的关键工具之一。为了弥补这一差距，我们提出了第一份全北极原位藻类色素数据汇编，这些数据仅通过高效液相色谱法 (HPLC) 获得，其中包含 2000 年至 2024 年间 77 次北极研究航行收集的 10 798 个样本。 作为大规模协作努力的结果，该数据库涵盖了沿海、大陆架和开放领域的开放水域和海冰环境。该数据库（https://doi.org/10.11583/DTU.29445104，Heidemann 等，2026）包含多达 26 种色素的测量结果，本研究考虑了 8 种主要标记/辅助色素，即四黄素 (Allo)、19'-丁酰氧基岩藻黄素 (But-fuco)、叶绿素 a (Chl) a)、叶绿素 b (Chl b)、岩藻黄质 (Fuco)、19'-己酰氧基岩藻黄质 (Hex-fuco)、多甲素 (Peri) 和玉米黄质 (Zea)。这个公开数据库提供了重要数据，可用于评估浮游植物动态、验证遥感观测结果，并可作为未来北极生态和建模研究的资源。</w:t>
      </w:r>
    </w:p>
    <w:p>
      <w:r>
        <w:rPr>
          <w:rFonts w:ascii="Microsoft YaHei" w:hAnsi="Microsoft YaHei" w:eastAsia="Microsoft YaHei"/>
          <w:color w:val="0563C1"/>
          <w:sz w:val="18"/>
        </w:rPr>
        <w:t>链接：https://doi.org/10.5194/essd-18-5505-2026</w:t>
      </w:r>
    </w:p>
    <w:p>
      <w:pPr>
        <w:pStyle w:val="Heading3"/>
      </w:pPr>
      <w:r>
        <w:rPr>
          <w:rFonts w:ascii="Microsoft YaHei" w:hAnsi="Microsoft YaHei" w:eastAsia="Microsoft YaHei"/>
          <w:b/>
        </w:rPr>
        <w:t>2. PACE satellite detection of marine phytoplankton taxonomic groups based on light absorption</w:t>
      </w:r>
    </w:p>
    <w:p>
      <w:r>
        <w:rPr>
          <w:rFonts w:ascii="Microsoft YaHei" w:hAnsi="Microsoft YaHei" w:eastAsia="Microsoft YaHei"/>
          <w:color w:val="55697D"/>
          <w:sz w:val="18"/>
        </w:rPr>
        <w:t>作者：Deyong Sun; Zan Li; Shengqiang Wang; Zixu Ye; hailong zhang</w:t>
      </w:r>
    </w:p>
    <w:p>
      <w:r>
        <w:rPr>
          <w:rFonts w:ascii="Microsoft YaHei" w:hAnsi="Microsoft YaHei" w:eastAsia="Microsoft YaHei"/>
          <w:color w:val="55697D"/>
          <w:sz w:val="18"/>
        </w:rPr>
        <w:t>期刊：Optics Express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DOI：10.1364/oe.608779</w:t>
      </w:r>
    </w:p>
    <w:p>
      <w:r>
        <w:rPr>
          <w:rFonts w:ascii="Microsoft YaHei" w:hAnsi="Microsoft YaHei" w:eastAsia="Microsoft YaHei"/>
          <w:b/>
          <w:sz w:val="19"/>
        </w:rPr>
        <w:t>关键词：phytoplankton</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链接：https://doi.org/10.1364/oe.608779</w:t>
      </w:r>
    </w:p>
    <w:p>
      <w:pPr>
        <w:pStyle w:val="Heading2"/>
      </w:pPr>
      <w:r>
        <w:t>重点关注团队</w:t>
      </w:r>
    </w:p>
    <w:p>
      <w:pPr>
        <w:pStyle w:val="Heading3"/>
      </w:pPr>
      <w:r>
        <w:rPr>
          <w:rFonts w:ascii="Microsoft YaHei" w:hAnsi="Microsoft YaHei" w:eastAsia="Microsoft YaHei"/>
          <w:b/>
        </w:rPr>
        <w:t>3. Remote Sensing Dynamic Monitoring and Driving Mechanism of Lake Area in Ebinur Lake, 1992–2024</w:t>
      </w:r>
    </w:p>
    <w:p>
      <w:r>
        <w:rPr>
          <w:rFonts w:ascii="Microsoft YaHei" w:hAnsi="Microsoft YaHei" w:eastAsia="Microsoft YaHei"/>
          <w:color w:val="55697D"/>
          <w:sz w:val="18"/>
        </w:rPr>
        <w:t>作者：Xingyu Wang; Decao Niu; Xiaoming Cao; Yongxin Li; Jie Han; Xiaochang Jiang; Zhengwei Han; Changle Yang; et al.</w:t>
      </w:r>
    </w:p>
    <w:p>
      <w:r>
        <w:rPr>
          <w:rFonts w:ascii="Microsoft YaHei" w:hAnsi="Microsoft YaHei" w:eastAsia="Microsoft YaHei"/>
          <w:color w:val="55697D"/>
          <w:sz w:val="18"/>
        </w:rPr>
        <w:t>期刊：Water</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DOI：10.3390/w18151810</w:t>
      </w:r>
    </w:p>
    <w:p>
      <w:r>
        <w:rPr>
          <w:rFonts w:ascii="Microsoft YaHei" w:hAnsi="Microsoft YaHei" w:eastAsia="Microsoft YaHei"/>
          <w:b/>
          <w:sz w:val="19"/>
        </w:rPr>
        <w:t>关键词：ocean colour</w:t>
      </w:r>
    </w:p>
    <w:p>
      <w:r>
        <w:rPr>
          <w:rFonts w:ascii="Microsoft YaHei" w:hAnsi="Microsoft YaHei" w:eastAsia="Microsoft YaHei"/>
          <w:sz w:val="17"/>
        </w:rPr>
        <w:t>摘要：干旱内陆盐湖是流域生态系统的重要组成部分。艾比湖作为新疆最大的盐湖和西北地区重要的生态屏障，其区域动态对区域可持续发展至关重要。本研究将陆地卫星图像（1992-2024）与气象和社会经济数据相结合，以研究最佳取水方法、湖泊面积时空变化和驱动机制。采用了多种方法，包括水分指数比较、Mann-Kendall 检验、Pearson 相关和岭回归。 结果表明：（1）归一化水分指数（NDWI）在历年、历月内均保持较高、稳定的分类精度，适合长期监测； （2）1992年至2024年，湖泊面积呈现显着的波动下降趋势，未出现突变点，呈现持续退化。生长季（4-10月）先减少后增加，早季面积较大，8、9月最小，恰逢农业灌溉需求高峰； (3)从驱动机制来看，社会经济因素占主导地位(约70%)，气象因素的调节作用较弱(约30%)。人口增长和用水量增加是主要驱动因素，季节性差异明显。 气象变化、社会经济发展和生态措施共同影响湖区。尽管极端事件（如异常降水）会引起短期波动，但不会改变人类活动主导的长期退化趋势。该研究为干旱盐湖的长期监测提供了方法学支撑，为艾比湖流域的生态保护和水资源管理提供了科学依据。</w:t>
      </w:r>
    </w:p>
    <w:p>
      <w:r>
        <w:rPr>
          <w:rFonts w:ascii="Microsoft YaHei" w:hAnsi="Microsoft YaHei" w:eastAsia="Microsoft YaHei"/>
          <w:color w:val="0563C1"/>
          <w:sz w:val="18"/>
        </w:rPr>
        <w:t>链接：https://doi.org/10.3390/w18151810</w:t>
      </w:r>
    </w:p>
    <w:p>
      <w:pPr>
        <w:pStyle w:val="Heading2"/>
      </w:pPr>
      <w:r>
        <w:t>其他相关期刊：按主题相关性补充</w:t>
      </w:r>
    </w:p>
    <w:p>
      <w:pPr>
        <w:pStyle w:val="Heading3"/>
      </w:pPr>
      <w:r>
        <w:rPr>
          <w:rFonts w:ascii="Microsoft YaHei" w:hAnsi="Microsoft YaHei" w:eastAsia="Microsoft YaHei"/>
          <w:b/>
        </w:rPr>
        <w:t>4. Coping with marine heatwaves: Tissue‐specific neuroendocrine and immune adjustments in small‐spotted catsharks</w:t>
      </w:r>
    </w:p>
    <w:p>
      <w:r>
        <w:rPr>
          <w:rFonts w:ascii="Microsoft YaHei" w:hAnsi="Microsoft YaHei" w:eastAsia="Microsoft YaHei"/>
          <w:color w:val="55697D"/>
          <w:sz w:val="18"/>
        </w:rPr>
        <w:t>作者：Sandra Martins; Rute Felix; Catarina Pereira Santos; Rui Rosa; Deborah M. Power</w:t>
      </w:r>
    </w:p>
    <w:p>
      <w:r>
        <w:rPr>
          <w:rFonts w:ascii="Microsoft YaHei" w:hAnsi="Microsoft YaHei" w:eastAsia="Microsoft YaHei"/>
          <w:color w:val="55697D"/>
          <w:sz w:val="18"/>
        </w:rPr>
        <w:t>期刊：Journal of Fish Biology</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DOI：10.1111/jfb.70567</w:t>
      </w:r>
    </w:p>
    <w:p>
      <w:r>
        <w:rPr>
          <w:rFonts w:ascii="Microsoft YaHei" w:hAnsi="Microsoft YaHei" w:eastAsia="Microsoft YaHei"/>
          <w:b/>
          <w:sz w:val="19"/>
        </w:rPr>
        <w:t>关键词：marine heatwaves</w:t>
      </w:r>
    </w:p>
    <w:p>
      <w:r>
        <w:rPr>
          <w:rFonts w:ascii="Microsoft YaHei" w:hAnsi="Microsoft YaHei" w:eastAsia="Microsoft YaHei"/>
          <w:sz w:val="17"/>
        </w:rPr>
        <w:t>摘要：海洋温度上升扰乱了脊椎动物的神经内分泌-免疫相互作用。研究人员对暴露于 30 天模拟海洋热浪的小斑点猫鲨 (Scyliorhinus canicula) 的肝脏、脾脏、肠道、血细胞和外阴器官中的神经内分泌基因表达进行了检查。神经内分泌基因、免疫和铁相关基因、血浆生化和白细胞测定之间的相关性揭示了组织特异性表达模式、减少了个体间变异性以及跨组织的协调转录调节。总体而言，猫鲨表现出对热应激的综合调整，最有可能平衡代谢需求与免疫恢复能力。</w:t>
      </w:r>
    </w:p>
    <w:p>
      <w:r>
        <w:rPr>
          <w:rFonts w:ascii="Microsoft YaHei" w:hAnsi="Microsoft YaHei" w:eastAsia="Microsoft YaHei"/>
          <w:color w:val="0563C1"/>
          <w:sz w:val="18"/>
        </w:rPr>
        <w:t>链接：https://doi.org/10.1111/jfb.70567</w:t>
      </w:r>
    </w:p>
    <w:p>
      <w:pPr>
        <w:pStyle w:val="Heading3"/>
      </w:pPr>
      <w:r>
        <w:rPr>
          <w:rFonts w:ascii="Microsoft YaHei" w:hAnsi="Microsoft YaHei" w:eastAsia="Microsoft YaHei"/>
          <w:b/>
        </w:rPr>
        <w:t>5. Biogeochemical signal from marine heatwaves, cold spells, and transient warming events in a coastal upwelling system</w:t>
      </w:r>
    </w:p>
    <w:p>
      <w:r>
        <w:rPr>
          <w:rFonts w:ascii="Microsoft YaHei" w:hAnsi="Microsoft YaHei" w:eastAsia="Microsoft YaHei"/>
          <w:color w:val="55697D"/>
          <w:sz w:val="18"/>
        </w:rPr>
        <w:t>作者：Valentina Valdés-Castro; Diego A. Narváez; Laura Farías; Renato A. Quiñones; Camila Fernández; Verónica Molina</w:t>
      </w:r>
    </w:p>
    <w:p>
      <w:r>
        <w:rPr>
          <w:rFonts w:ascii="Microsoft YaHei" w:hAnsi="Microsoft YaHei" w:eastAsia="Microsoft YaHei"/>
          <w:color w:val="55697D"/>
          <w:sz w:val="18"/>
        </w:rPr>
        <w:t>期刊：Scientific Reports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DOI：10.1038/s41598-026-62941-1</w:t>
      </w:r>
    </w:p>
    <w:p>
      <w:r>
        <w:rPr>
          <w:rFonts w:ascii="Microsoft YaHei" w:hAnsi="Microsoft YaHei" w:eastAsia="Microsoft YaHei"/>
          <w:b/>
          <w:sz w:val="19"/>
        </w:rPr>
        <w:t>关键词：marine heatwaves</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链接：https://doi.org/10.1038/s41598-026-62941-1</w:t>
      </w:r>
    </w:p>
    <w:p>
      <w:pPr>
        <w:pStyle w:val="Heading3"/>
      </w:pPr>
      <w:r>
        <w:rPr>
          <w:rFonts w:ascii="Microsoft YaHei" w:hAnsi="Microsoft YaHei" w:eastAsia="Microsoft YaHei"/>
          <w:b/>
        </w:rPr>
        <w:t>6. A GeoAI framework for coastal flood risk assessment: integrating remote sensing and socioeconomic data</w:t>
      </w:r>
    </w:p>
    <w:p>
      <w:r>
        <w:rPr>
          <w:rFonts w:ascii="Microsoft YaHei" w:hAnsi="Microsoft YaHei" w:eastAsia="Microsoft YaHei"/>
          <w:color w:val="55697D"/>
          <w:sz w:val="18"/>
        </w:rPr>
        <w:t>作者：Munshi Khaledur Rahman; Md Sariful Islam; Thomas Crawford; Emma Robinson; Md. Farhad Hossain</w:t>
      </w:r>
    </w:p>
    <w:p>
      <w:r>
        <w:rPr>
          <w:rFonts w:ascii="Microsoft YaHei" w:hAnsi="Microsoft YaHei" w:eastAsia="Microsoft YaHei"/>
          <w:color w:val="55697D"/>
          <w:sz w:val="18"/>
        </w:rPr>
        <w:t>期刊：Frontiers in Climate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DOI：10.3389/fclim.2026.1831382</w:t>
      </w:r>
    </w:p>
    <w:p>
      <w:r>
        <w:rPr>
          <w:rFonts w:ascii="Microsoft YaHei" w:hAnsi="Microsoft YaHei" w:eastAsia="Microsoft YaHei"/>
          <w:b/>
          <w:sz w:val="19"/>
        </w:rPr>
        <w:t>关键词：ocean colour</w:t>
      </w:r>
    </w:p>
    <w:p>
      <w:r>
        <w:rPr>
          <w:rFonts w:ascii="Microsoft YaHei" w:hAnsi="Microsoft YaHei" w:eastAsia="Microsoft YaHei"/>
          <w:sz w:val="17"/>
        </w:rPr>
        <w:t>摘要：孟加拉国沿海地区被广泛认为是世界上最容易发生灾害的地区之一。在这一脆弱带内，拉克什米布尔地区拥有漫长且高度暴露的海岸线，并且经常遭受水文气象灾害，包括频繁的洪水、潮汐涌动、河流泛滥和强烈的季风降雨。该地区平坦的地形和地理环境进一步加剧了其对季节性和极端洪水事件的敏感性。值得注意的是，2024 年和 2025 年连续发生的两次特大洪水分别影响了约 60 万人和 5 万人，仅 2024 年的一次洪水就造成农作物损失超过 2. 27 亿孟加拉塔卡。 为了应对这些不断升级的风险，本研究开发了一个基于地理空间人工智能 (GeoAI) 的洪水风险绘图框架，该框架集成了多源卫星地球观测数据和社会数据集，以绘制 2024 年和 2025 年的洪水范围，并预测拉克什米普尔地区的洪水风险。洪水范围是使用 Sentinel-1 合成孔径雷达 (SAR) 图像得出的，而洪水风险预测则采用了根据海拔、坡度、到河流的距离、降水量、人口、农田和建成指数进行训练的随机森林分类器。由此产生的概率洪水风险被分为从极低风险到极高风险的五类，并在联盟层面量化人口和农田暴露程度。使用 2025 年洪水数据进行的模型验证的总体准确度为 85. 9%，Cohen’s Kappa 为 0。 71，表现出强大的预测性能。结果突出了关键的洪水风险和暴露热点，强调了基于 GeoAI 的方法在实现及时、高效和可操作的洪水风险评估方面的实用性，特别是对于脆弱社区来说，通过绘图和建模进行早期风险检测对于主动灾害规划和自然灾害管理的有针对性的缓解至关重要。</w:t>
      </w:r>
    </w:p>
    <w:p>
      <w:r>
        <w:rPr>
          <w:rFonts w:ascii="Microsoft YaHei" w:hAnsi="Microsoft YaHei" w:eastAsia="Microsoft YaHei"/>
          <w:color w:val="0563C1"/>
          <w:sz w:val="18"/>
        </w:rPr>
        <w:t>链接：https://doi.org/10.3389/fclim.2026.1831382</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