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检索日期：2026-07-31 | GitHub Actions 自动生成</w:t>
      </w:r>
    </w:p>
    <w:p>
      <w:pPr>
        <w:pStyle w:val="Heading1"/>
      </w:pPr>
      <w:r>
        <w:t>今日总览</w:t>
      </w:r>
    </w:p>
    <w:p>
      <w:r>
        <w:rPr>
          <w:rFonts w:ascii="Microsoft YaHei" w:hAnsi="Microsoft YaHei" w:eastAsia="Microsoft YaHei"/>
        </w:rPr>
        <w:t>历史去重后今日新增 8 篇。排序规则：Nature 系列、Science 系列、其余重点期刊、重点关注团队、其他相关补充论文。</w:t>
      </w:r>
    </w:p>
    <w:p>
      <w:pPr>
        <w:pStyle w:val="Heading1"/>
      </w:pPr>
      <w:r>
        <w:t>论文速读</w:t>
      </w:r>
    </w:p>
    <w:p>
      <w:pPr>
        <w:pStyle w:val="Heading2"/>
      </w:pPr>
      <w:r>
        <w:t>重点期刊：按影响力和相关性排序</w:t>
      </w:r>
    </w:p>
    <w:p>
      <w:pPr>
        <w:pStyle w:val="Heading3"/>
      </w:pPr>
      <w:r>
        <w:rPr>
          <w:rFonts w:ascii="Microsoft YaHei" w:hAnsi="Microsoft YaHei" w:eastAsia="Microsoft YaHei"/>
          <w:b/>
        </w:rPr>
        <w:t>1. Biogeochemical controls on carbonate dynamics driven by methane and freshwater inputs in shallow sediments of a brackish continental shelf sea</w:t>
      </w:r>
    </w:p>
    <w:p>
      <w:r>
        <w:rPr>
          <w:rFonts w:ascii="Microsoft YaHei" w:hAnsi="Microsoft YaHei" w:eastAsia="Microsoft YaHei"/>
          <w:color w:val="55697D"/>
          <w:sz w:val="18"/>
        </w:rPr>
        <w:t>作者：Katarzyna Łukawska-Matuszewska; Grzegorz Rzepa; Aleksandra Brodecka-Goluch; Andrzej Borkowski; Beata Gebus-Czupyt; Artur Błachowski; Maciej Manecki; Jarosław Kania; et al.</w:t>
      </w:r>
    </w:p>
    <w:p>
      <w:r>
        <w:rPr>
          <w:rFonts w:ascii="Microsoft YaHei" w:hAnsi="Microsoft YaHei" w:eastAsia="Microsoft YaHei"/>
          <w:color w:val="55697D"/>
          <w:sz w:val="18"/>
        </w:rPr>
        <w:t>期刊：Biogeosciences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DOI：10.5194/bg-23-5255-2026</w:t>
      </w:r>
    </w:p>
    <w:p>
      <w:r>
        <w:rPr>
          <w:rFonts w:ascii="Microsoft YaHei" w:hAnsi="Microsoft YaHei" w:eastAsia="Microsoft YaHei"/>
          <w:b/>
          <w:sz w:val="19"/>
        </w:rPr>
        <w:t>关键词：ocean biogeochemistry</w:t>
      </w:r>
    </w:p>
    <w:p>
      <w:r>
        <w:rPr>
          <w:rFonts w:ascii="Microsoft YaHei" w:hAnsi="Microsoft YaHei" w:eastAsia="Microsoft YaHei"/>
          <w:sz w:val="17"/>
        </w:rPr>
        <w:t>摘要：大陆架海洋对于碳循环至关重要，支持着全球近三分之一的海洋初级生产，并为有机和无机碳的埋藏做出了重大贡献。沿海沉积物中发生的有机碎屑硫酸盐还原（OSR）、甲烷产生或甲烷厌氧氧化（AOM）等过程对海洋环境中的碳循环具有重大影响。这种影响可以通过增加有机物（OM）供应或淡水输入来改变。在目前的跨学科研究中，我们研究了苦咸大陆架海三种底栖环境中的碳酸盐动态：（1）以OSR为主的缺氧沉积物； (2) 陆源有机质输入量高、产甲烷活跃的近岸沉积物； (3) 沉积物受地下水渗透和孔隙水净化以及产甲烷作用的影响。 我们分析了孔隙水化学（DIC、总碱度、主要离子、营养物）、沉积物地球化学（CH4、总有机碳、总氮、总硫）和矿物学，包括自生碳酸盐和硫化铁。我们使用 DIC (δ13C-DIC)、甲烷 (δ13C-CH4、δ2H-CH4) 和有机物 (δ13C、δ15N) 的稳定同位素来追踪碳转化。我们还通过实验确定了 OSR 和 AOM 的比率。基于这些数据，我们提出了三种沉积环境中碳循环的概念模型。在无甲烷沉积物中，有机质降解主要受OSR控制，在顶部100 cm内产生54 mmol m−2 d−1 DIC，伴随着有限的碳酸盐埋藏和占主导地位的黄铁矿积累。 在 OM 通量超过硫酸盐供应的沉积物中，很大一部分 OM 再矿化转移到最上面分米的甲烷生成，导致硫酸盐快速消耗、硫酸盐-甲烷转变浅层和 DIC 浓度升高；这些过程在受淡水渗漏影响的沉积物中尤其明显，其中孔隙水的净化进一步限制了硫酸盐的可用性。在这种条件下，碳酸盐动力学显着增强：与甲烷相关的过程——特别是AOM，在受淡水影响的沉积物中达到1077 µmol dm−3 d−1——产生额外的DIC，导致碳酸盐过饱和并促进明显的自生碳酸盐（主要是白云石）形成。 在这些环境中，AOM 的深度积分 DIC 产量（0-100 cm 内为 331 mmol m−2 d−1）大大超过了 OSR 衍生的 DIC（58 mmol m−2 d−1），这与自生白云石埋藏率升高（467–994 µmol m−2 d−1）相对应。据我们所知，这项研究首次对波罗的海沉积物的自生碳酸盐埋藏率进行了定量估计。</w:t>
      </w:r>
    </w:p>
    <w:p>
      <w:r>
        <w:rPr>
          <w:rFonts w:ascii="Microsoft YaHei" w:hAnsi="Microsoft YaHei" w:eastAsia="Microsoft YaHei"/>
          <w:color w:val="0563C1"/>
          <w:sz w:val="18"/>
        </w:rPr>
        <w:t>链接：https://doi.org/10.5194/bg-23-5255-2026</w:t>
      </w:r>
    </w:p>
    <w:p>
      <w:pPr>
        <w:pStyle w:val="Heading3"/>
      </w:pPr>
      <w:r>
        <w:rPr>
          <w:rFonts w:ascii="Microsoft YaHei" w:hAnsi="Microsoft YaHei" w:eastAsia="Microsoft YaHei"/>
          <w:b/>
        </w:rPr>
        <w:t>2. Deep–breathing basin mesoscale dipoles utilize deep nutrient reserves and modulate upper–ocean productivity</w:t>
      </w:r>
    </w:p>
    <w:p>
      <w:r>
        <w:rPr>
          <w:rFonts w:ascii="Microsoft YaHei" w:hAnsi="Microsoft YaHei" w:eastAsia="Microsoft YaHei"/>
          <w:color w:val="55697D"/>
          <w:sz w:val="18"/>
        </w:rPr>
        <w:t>作者：David Alberto Salas-de-León; Elizabeth Durán-Campos; Erik Coria-Monter; María Adela Monreal-Gómez; Adolfo Gracia; Héctor Mauricio Alexander-Valdés</w:t>
      </w:r>
    </w:p>
    <w:p>
      <w:r>
        <w:rPr>
          <w:rFonts w:ascii="Microsoft YaHei" w:hAnsi="Microsoft YaHei" w:eastAsia="Microsoft YaHei"/>
          <w:color w:val="55697D"/>
          <w:sz w:val="18"/>
        </w:rPr>
        <w:t>期刊：Frontiers in Marine Science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DOI：10.3389/fmars.2026.1870153</w:t>
      </w:r>
    </w:p>
    <w:p>
      <w:r>
        <w:rPr>
          <w:rFonts w:ascii="Microsoft YaHei" w:hAnsi="Microsoft YaHei" w:eastAsia="Microsoft YaHei"/>
          <w:b/>
          <w:sz w:val="19"/>
        </w:rPr>
        <w:t>关键词：phytoplankton; vertical structure</w:t>
      </w:r>
    </w:p>
    <w:p>
      <w:r>
        <w:rPr>
          <w:rFonts w:ascii="Microsoft YaHei" w:hAnsi="Microsoft YaHei" w:eastAsia="Microsoft YaHei"/>
          <w:sz w:val="17"/>
        </w:rPr>
        <w:t>摘要：本研究调查了墨西哥湾南部地下偶极涡流如何调节浮游植物生物量（以叶绿素 a (Chl-a) 浓度表示）。该分析基于 2015 年 6 月一次海洋巡航期间收集的高分辨率水文和生物地球化学观测结果。温度、营养物和叶绿素 a 荧光的垂直分布揭示了中心位于约 200 m 深度的明确的气旋-反气旋对。在气旋涡流内，等温线的抬升和营养丰富的海水从接近 1000 m 的深度向上输送到约 180 m，促进了 80 m 以下明显的地下叶绿素最大值的形成。相反，反气旋涡流表现出等温线和营养层的加深，这与垂直营养供应的减少一致。 旋风核心内的亚硝酸盐和硝酸盐浓度在 200 m 深度处达到 5 µM，与约 10 mg m -2 的增强的垂直积分 Chla-a 值一致。此外，沿偶极子边缘增强的边界流表明锋面动力学的存在，可能会进一步增强垂直交换。气旋涡流在其生命周期的大部分时间里主要表现出非线性行为，这种状态在使营养丰富的水体向上输送方面发挥着关键作用，等温线和硝酸盐+亚硝酸盐等值线从大约1000米的深度上升。这种垂直位移大大超过了典型的中尺度涡流泵送，表明地下偶极子可以在深层营养物库和富光带底部之间建立直接连接。 总体而言，这些结果凸显了地下偶极涡流在调节墨西哥湾南部营养物注入和浮游植物生物量方面的关键作用，涡流抽吸成为驱动地下生物富集的主要机制。</w:t>
      </w:r>
    </w:p>
    <w:p>
      <w:r>
        <w:rPr>
          <w:rFonts w:ascii="Microsoft YaHei" w:hAnsi="Microsoft YaHei" w:eastAsia="Microsoft YaHei"/>
          <w:color w:val="0563C1"/>
          <w:sz w:val="18"/>
        </w:rPr>
        <w:t>链接：https://doi.org/10.3389/fmars.2026.1870153</w:t>
      </w:r>
    </w:p>
    <w:p>
      <w:pPr>
        <w:pStyle w:val="Heading3"/>
      </w:pPr>
      <w:r>
        <w:rPr>
          <w:rFonts w:ascii="Microsoft YaHei" w:hAnsi="Microsoft YaHei" w:eastAsia="Microsoft YaHei"/>
          <w:b/>
        </w:rPr>
        <w:t>3. From Global to Station-Centric Models: Improved Chlorophyll-a Prediction in the Gulf of İzmir Using Sentinel-2</w:t>
      </w:r>
    </w:p>
    <w:p>
      <w:r>
        <w:rPr>
          <w:rFonts w:ascii="Microsoft YaHei" w:hAnsi="Microsoft YaHei" w:eastAsia="Microsoft YaHei"/>
          <w:color w:val="55697D"/>
          <w:sz w:val="18"/>
        </w:rPr>
        <w:t>作者：Coskun Ozkan; Filiz Sunar; İbrahim Tan</w:t>
      </w:r>
    </w:p>
    <w:p>
      <w:r>
        <w:rPr>
          <w:rFonts w:ascii="Microsoft YaHei" w:hAnsi="Microsoft YaHei" w:eastAsia="Microsoft YaHei"/>
          <w:color w:val="55697D"/>
          <w:sz w:val="18"/>
        </w:rPr>
        <w:t>期刊：Remote Sensing</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DOI：10.5194/isprs-archives-xlix-b3-2026-213-2026</w:t>
      </w:r>
    </w:p>
    <w:p>
      <w:r>
        <w:rPr>
          <w:rFonts w:ascii="Microsoft YaHei" w:hAnsi="Microsoft YaHei" w:eastAsia="Microsoft YaHei"/>
          <w:b/>
          <w:sz w:val="19"/>
        </w:rPr>
        <w:t>关键词：phytoplankton; ocean colour; ocean optics; bio-optics</w:t>
      </w:r>
    </w:p>
    <w:p>
      <w:r>
        <w:rPr>
          <w:rFonts w:ascii="Microsoft YaHei" w:hAnsi="Microsoft YaHei" w:eastAsia="Microsoft YaHei"/>
          <w:sz w:val="17"/>
        </w:rPr>
        <w:t>摘要：叶绿素-a (Chl-a) 是浮游植物丰度的主要指标，在评估沿海水质和富营养化过程中发挥着核心作用。作为一种光学活性物质，其浓度可调节水离开的辐射亮度，从而能够从多光谱卫星观测中进行检索。传统的遥感模型通常仅依赖于从反射带得出的光谱信息。本研究通过使用地理加权回归 (GWR) 将光谱信息与空间背景相结合来扩展该方法。然而，标准 GWR 面临着实际的限制，例如高计算成本以及在异构领域进行公正的性能评估的挑战。为了解决这些限制，我们引入了以站点为中心的 GWR (SCGWR) 框架。 SCGWR 以每个原位采样站为中心构建单独的本地校准回归模型，从而捕获 Sentinel-2 反射带和测量的 Chl-a 浓度之间的特定地点关系。使用 Sentinel-2A 表面反射率数据和同步原位 Chl-a 观测数据对伊兹密尔湾 SCGWR 的性能进行了评估。与多元线性回归 (MLR) 的比较分析表明，SCGWR 提供了更高的预测精度，同时更好地表示局部空间变异性。特别是，与 MLR (6. 95) 相比，SCGWR 产生的测试 RMSE (6. 26) 较低，并且相关系数和一致性系数较高。对预测图的目视检查进一步表明，SCGWR 生成的空间相干 Chl-a 模式与现场测量更接近。 这些结果证明了 SCGWR 框架作为可靠的空间建模方法的潜力，可改善沿海富营养化和水质动态的卫星监测。</w:t>
      </w:r>
    </w:p>
    <w:p>
      <w:r>
        <w:rPr>
          <w:rFonts w:ascii="Microsoft YaHei" w:hAnsi="Microsoft YaHei" w:eastAsia="Microsoft YaHei"/>
          <w:color w:val="0563C1"/>
          <w:sz w:val="18"/>
        </w:rPr>
        <w:t>链接：https://doi.org/10.5194/isprs-archives-xlix-b3-2026-213-2026</w:t>
      </w:r>
    </w:p>
    <w:p>
      <w:pPr>
        <w:pStyle w:val="Heading3"/>
      </w:pPr>
      <w:r>
        <w:rPr>
          <w:rFonts w:ascii="Microsoft YaHei" w:hAnsi="Microsoft YaHei" w:eastAsia="Microsoft YaHei"/>
          <w:b/>
        </w:rPr>
        <w:t>4. Fusing Satellite Remote Sensing and ARGO Float Data for Enhanced Monitoring of Microplastic Concentrations in the West Pacific (2018–2020)</w:t>
      </w:r>
    </w:p>
    <w:p>
      <w:r>
        <w:rPr>
          <w:rFonts w:ascii="Microsoft YaHei" w:hAnsi="Microsoft YaHei" w:eastAsia="Microsoft YaHei"/>
          <w:color w:val="55697D"/>
          <w:sz w:val="18"/>
        </w:rPr>
        <w:t>作者：Ting On Chan; Zhijie Chang; Wing Sum Yan</w:t>
      </w:r>
    </w:p>
    <w:p>
      <w:r>
        <w:rPr>
          <w:rFonts w:ascii="Microsoft YaHei" w:hAnsi="Microsoft YaHei" w:eastAsia="Microsoft YaHei"/>
          <w:color w:val="55697D"/>
          <w:sz w:val="18"/>
        </w:rPr>
        <w:t>期刊：Remote Sensing</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DOI：10.5194/isprs-archives-xlix-b3-2026-1185-2026</w:t>
      </w:r>
    </w:p>
    <w:p>
      <w:r>
        <w:rPr>
          <w:rFonts w:ascii="Microsoft YaHei" w:hAnsi="Microsoft YaHei" w:eastAsia="Microsoft YaHei"/>
          <w:b/>
          <w:sz w:val="19"/>
        </w:rPr>
        <w:t>关键词：BGC-Argo; ocean colour; vertical structure</w:t>
      </w:r>
    </w:p>
    <w:p>
      <w:r>
        <w:rPr>
          <w:rFonts w:ascii="Microsoft YaHei" w:hAnsi="Microsoft YaHei" w:eastAsia="Microsoft YaHei"/>
          <w:sz w:val="17"/>
        </w:rPr>
        <w:t>摘要：随着海洋塑料污染的不断加剧，监测微塑料的运输和扩散已成为全球关注的重要问题。然而，由于缺乏直接的卫星特征以及控制其扩散的复杂非线性物理机制，预测微塑料浓度仍然极具挑战性。本研究开发了一个可解释的机器学习框架，用于监测 2018 年至 2020 年西太平洋地表微塑料浓度。我们利用 3D 反距离加权 (3D-IDW) 时空插值算法，深度整合了日本 AOMI 现场微塑料观测、ERA5 气象/波浪再分析和 Euro-Argo 地下剖面数据。随后训练随机森林 (RF) 模型，实现稳健的预测精度（R² = 0. 64、0. 76 和 0. 2018 年、2019 年和 2020 年分别为 87）。至关重要的是，我们结合了 SHapley Additive exPlanations (SHAP) 来克服传统集成模型的“黑匣子”限制。 SHAP 分析明确揭示了主要环境驱动因素逐年发生的明显转变：微塑料分布主要受 2018 年稳定的水文和生物条件控制； 2019 年动态波浪强迫（例如长周期涌浪和斯托克斯漂移）；以及2020年的极端气象事件（例如台风引起的陆地冲刷）。最终，这个基于物理的框架成功地阐明了水文-生物优势和气象-物理强迫之间微塑料传输机制的动态转变，为有针对性的污染缓解和沿海恢复规划提供了重要的科学支持。</w:t>
      </w:r>
    </w:p>
    <w:p>
      <w:r>
        <w:rPr>
          <w:rFonts w:ascii="Microsoft YaHei" w:hAnsi="Microsoft YaHei" w:eastAsia="Microsoft YaHei"/>
          <w:color w:val="0563C1"/>
          <w:sz w:val="18"/>
        </w:rPr>
        <w:t>链接：https://doi.org/10.5194/isprs-archives-xlix-b3-2026-1185-2026</w:t>
      </w:r>
    </w:p>
    <w:p>
      <w:pPr>
        <w:pStyle w:val="Heading3"/>
      </w:pPr>
      <w:r>
        <w:rPr>
          <w:rFonts w:ascii="Microsoft YaHei" w:hAnsi="Microsoft YaHei" w:eastAsia="Microsoft YaHei"/>
          <w:b/>
        </w:rPr>
        <w:t>5. Hyperspectral indices and global fluorescence: how PACE vegetation indices correlate with terrestrial photosynthesis</w:t>
      </w:r>
    </w:p>
    <w:p>
      <w:r>
        <w:rPr>
          <w:rFonts w:ascii="Microsoft YaHei" w:hAnsi="Microsoft YaHei" w:eastAsia="Microsoft YaHei"/>
          <w:color w:val="55697D"/>
          <w:sz w:val="18"/>
        </w:rPr>
        <w:t>作者：Caleb S. Harmon; K. Fred Huemmrich; Randolph H. Wynne; Valerie A. Thomas; Rui Cheng</w:t>
      </w:r>
    </w:p>
    <w:p>
      <w:r>
        <w:rPr>
          <w:rFonts w:ascii="Microsoft YaHei" w:hAnsi="Microsoft YaHei" w:eastAsia="Microsoft YaHei"/>
          <w:color w:val="55697D"/>
          <w:sz w:val="18"/>
        </w:rPr>
        <w:t>期刊：Remote Sensing</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DOI：10.3389/frsen.2026.1819365</w:t>
      </w:r>
    </w:p>
    <w:p>
      <w:r>
        <w:rPr>
          <w:rFonts w:ascii="Microsoft YaHei" w:hAnsi="Microsoft YaHei" w:eastAsia="Microsoft YaHei"/>
          <w:b/>
          <w:sz w:val="19"/>
        </w:rPr>
        <w:t>关键词：phytoplankton; ocean colour</w:t>
      </w:r>
    </w:p>
    <w:p>
      <w:r>
        <w:rPr>
          <w:rFonts w:ascii="Microsoft YaHei" w:hAnsi="Microsoft YaHei" w:eastAsia="Microsoft YaHei"/>
          <w:sz w:val="17"/>
        </w:rPr>
        <w:t>摘要：太阳诱导的叶绿素荧光（SIF）是光合活动和植物生理状态的直接遥感指标。然而，其应用受到粗空间分辨率和数据间隙的限制。 NASA PACE 任务提供的高光谱观测可能有助于通过其海洋颜色仪器和相关的陆地植被指数 (LANDVI) 产品解决这些限制。本研究评估了全球不同生物群落中 PACE 植被指数与 TROPOMI SIF 之间关系的强度。使用 2024 年以来的 8 天全球综合数据，我们证明了 15 个生物群落分层区域（包括森林、草原、农业区和旱地景观）的 PACE 植被指数和 TROPOMI SIF 之间存在很强的时空相关性。 即使没有光合有效辐射 (PAR) 和反照率校正，简单的单变量线性模型表明增强植被指数 (EVI) 和叶绿素指数红边 (CIRE) 可以解释大部分 SIF 方差（分别为 R 2 = 0. 80 和 0. 77）。这些跨季节关系的稳定性凸显了冠层结构和叶绿素含量在驱动全球 SIF 变异中的关键作用。季节性分析进一步表明，虽然 EVI 和 CIRE 在大多数森林和农业系统中表现强劲，但其他湿度和色素敏感指数可以在缺水生态系统的旱季提供更好的表现。空间残差分析表明全局偏差最小，尽管某些区域会出现系统偏差（例如， 、北方森林和热带地区的部分地区），与已知的树冠结构和荧光逃逸概率的影响一致。这些强相关性表明，PACE 植被指数捕获了 SIF 的关键生物物理驱动因素，并指出了未来研究中改进 SIF 预测和缩小规模的潜力，特别是与 PAR 校正、反照率或逃逸概率因素等其他变量相结合时。鉴于中等分辨率传感器（例如 Sentinel-2 和 Landsat）中 EVI 的可用性，这种关系也为将粗分辨率 SIF 桥接到更精细的管理相关尺度提供了有希望的途径。</w:t>
      </w:r>
    </w:p>
    <w:p>
      <w:r>
        <w:rPr>
          <w:rFonts w:ascii="Microsoft YaHei" w:hAnsi="Microsoft YaHei" w:eastAsia="Microsoft YaHei"/>
          <w:color w:val="0563C1"/>
          <w:sz w:val="18"/>
        </w:rPr>
        <w:t>链接：https://doi.org/10.3389/frsen.2026.1819365</w:t>
      </w:r>
    </w:p>
    <w:p>
      <w:pPr>
        <w:pStyle w:val="Heading3"/>
      </w:pPr>
      <w:r>
        <w:rPr>
          <w:rFonts w:ascii="Microsoft YaHei" w:hAnsi="Microsoft YaHei" w:eastAsia="Microsoft YaHei"/>
          <w:b/>
        </w:rPr>
        <w:t>6. Impact of Shoreline Ecological Restoration on Suspended Sediment Concentration in Shanghai Coastal Waters</w:t>
      </w:r>
    </w:p>
    <w:p>
      <w:r>
        <w:rPr>
          <w:rFonts w:ascii="Microsoft YaHei" w:hAnsi="Microsoft YaHei" w:eastAsia="Microsoft YaHei"/>
          <w:color w:val="55697D"/>
          <w:sz w:val="18"/>
        </w:rPr>
        <w:t>作者：Tian Geng; Yiwen Guo</w:t>
      </w:r>
    </w:p>
    <w:p>
      <w:r>
        <w:rPr>
          <w:rFonts w:ascii="Microsoft YaHei" w:hAnsi="Microsoft YaHei" w:eastAsia="Microsoft YaHei"/>
          <w:color w:val="55697D"/>
          <w:sz w:val="18"/>
        </w:rPr>
        <w:t>期刊：Remote Sensing</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DOI：10.5194/isprs-archives-xlix-b3-2026-711-2026</w:t>
      </w:r>
    </w:p>
    <w:p>
      <w:r>
        <w:rPr>
          <w:rFonts w:ascii="Microsoft YaHei" w:hAnsi="Microsoft YaHei" w:eastAsia="Microsoft YaHei"/>
          <w:b/>
          <w:sz w:val="19"/>
        </w:rPr>
        <w:t>关键词：ocean colour; backscattering</w:t>
      </w:r>
    </w:p>
    <w:p>
      <w:r>
        <w:rPr>
          <w:rFonts w:ascii="Microsoft YaHei" w:hAnsi="Microsoft YaHei" w:eastAsia="Microsoft YaHei"/>
          <w:sz w:val="17"/>
        </w:rPr>
        <w:t>摘要：由于长江泥沙输入和潮汐力较强，上海近岸海域浑浊度高。快速城市化导致海岸线硬化，改变水动力和沉积物输送，导致生态退化。尽管生态恢复措施已经启动，但其对悬浮泥沙浓度（SSC）的广泛影响仍不清楚。在本研究中，利用高分一号/高分二号卫星的数据和准分析算法（QAA）开发了上海近岸水域SSC反演模型。指数模型 (SSC = 21. 959·exp(0. 9335·bbp)(R² = 0. 7305)) 。 将该模型应用于 2020 年至 2024 年的时间序列数据显示，传统硬化海岸线区域的 SSC 值较高且变化更大（夏季平均值 = 145 mg/L，标准差 = 96 mg/L），而自然参考区域保持较低的 SSC 水平（平均值 = 45 mg/L，标准差 = 11 mg/L）。临港生态恢复区的SSC呈现中间值（87 mg/L），且变异性较小。施工阶段（2022-2023年），SSC暂时上升，但竣工后显着下降，再次接近自然水平。这些结果表明，生态修复可以有效稳定沉积物状况，为海岸带管理提供科学支撑。关键词：悬浮泥沙浓度（SSC）、海岸线生态恢复、上海近岸海域、准解析算法（QAA）、遥感监测。</w:t>
      </w:r>
    </w:p>
    <w:p>
      <w:r>
        <w:rPr>
          <w:rFonts w:ascii="Microsoft YaHei" w:hAnsi="Microsoft YaHei" w:eastAsia="Microsoft YaHei"/>
          <w:color w:val="0563C1"/>
          <w:sz w:val="18"/>
        </w:rPr>
        <w:t>链接：https://doi.org/10.5194/isprs-archives-xlix-b3-2026-711-2026</w:t>
      </w:r>
    </w:p>
    <w:p>
      <w:pPr>
        <w:pStyle w:val="Heading2"/>
      </w:pPr>
      <w:r>
        <w:t>重点关注团队</w:t>
      </w:r>
    </w:p>
    <w:p>
      <w:pPr>
        <w:pStyle w:val="Heading3"/>
      </w:pPr>
      <w:r>
        <w:rPr>
          <w:rFonts w:ascii="Microsoft YaHei" w:hAnsi="Microsoft YaHei" w:eastAsia="Microsoft YaHei"/>
          <w:b/>
        </w:rPr>
        <w:t>7. A generalized deep learning framework for automated marine oil spill detection using multi-source SAR cross-sea datasets</w:t>
      </w:r>
    </w:p>
    <w:p>
      <w:r>
        <w:rPr>
          <w:rFonts w:ascii="Microsoft YaHei" w:hAnsi="Microsoft YaHei" w:eastAsia="Microsoft YaHei"/>
          <w:color w:val="55697D"/>
          <w:sz w:val="18"/>
        </w:rPr>
        <w:t>作者：Xinrong Yan; Juanle Wang; Jing Bai; Xiaoyan Dong; Fang Wu; Dong Lu; Wei Shen; Qian Sun</w:t>
      </w:r>
    </w:p>
    <w:p>
      <w:r>
        <w:rPr>
          <w:rFonts w:ascii="Microsoft YaHei" w:hAnsi="Microsoft YaHei" w:eastAsia="Microsoft YaHei"/>
          <w:color w:val="55697D"/>
          <w:sz w:val="18"/>
        </w:rPr>
        <w:t>期刊：Frontiers in Environmental Science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DOI：10.3389/fenvs.2026.1909612</w:t>
      </w:r>
    </w:p>
    <w:p>
      <w:r>
        <w:rPr>
          <w:rFonts w:ascii="Microsoft YaHei" w:hAnsi="Microsoft YaHei" w:eastAsia="Microsoft YaHei"/>
          <w:b/>
          <w:sz w:val="19"/>
        </w:rPr>
        <w:t>关键词：ocean colour</w:t>
      </w:r>
    </w:p>
    <w:p>
      <w:r>
        <w:rPr>
          <w:rFonts w:ascii="Microsoft YaHei" w:hAnsi="Microsoft YaHei" w:eastAsia="Microsoft YaHei"/>
          <w:sz w:val="17"/>
        </w:rPr>
        <w:t>摘要：由于复杂的海面散射机制和相似现象的干扰，使用合成孔径雷达（SAR）图像进行海洋溢油检测仍然具有挑战性，这限制了深度学习模型在不同海洋环境中的泛化能力。为了应对这一挑战，本研究开发了一个多源遥感深度学习框架，用于基于 Sentinel-1 SAR 图像的自动溢油检测。该研究重点是两个公开数据集（DARTIS 和 CSIRO）的集成应用，以增强模型在各种海洋环境中的适应性。 结果表明：（1）与单数据集训练策略相比，所提出的多源数据集融合策略提高了模型的跨区域泛化能力； (2) 使用 27 个 Sentinel-1 SAR 场景进行的场景级验证表明，所提出的框架实现了可靠的溢油测绘，精度、召回率和 F1 分数分别为 0. 811、0. 956 和 0. 878； （3）本研究开发的自动化监测框架能够实现从SAR图像采集到溢油分布测绘的端到端处理，提供及时的监测和警报结果。它支持从传统的被动事后解释向主动自动化监测范式的转变，提高了海洋溢油监测的效率和及时性。</w:t>
      </w:r>
    </w:p>
    <w:p>
      <w:r>
        <w:rPr>
          <w:rFonts w:ascii="Microsoft YaHei" w:hAnsi="Microsoft YaHei" w:eastAsia="Microsoft YaHei"/>
          <w:color w:val="0563C1"/>
          <w:sz w:val="18"/>
        </w:rPr>
        <w:t>链接：https://doi.org/10.3389/fenvs.2026.1909612</w:t>
      </w:r>
    </w:p>
    <w:p>
      <w:pPr>
        <w:pStyle w:val="Heading2"/>
      </w:pPr>
      <w:r>
        <w:t>其他相关期刊：按主题相关性补充</w:t>
      </w:r>
    </w:p>
    <w:p>
      <w:pPr>
        <w:pStyle w:val="Heading3"/>
      </w:pPr>
      <w:r>
        <w:rPr>
          <w:rFonts w:ascii="Microsoft YaHei" w:hAnsi="Microsoft YaHei" w:eastAsia="Microsoft YaHei"/>
          <w:b/>
        </w:rPr>
        <w:t>8. Increased temperature decreases starvation resiliency in first feeding sablefish (Anoplopoma fimbria)</w:t>
      </w:r>
    </w:p>
    <w:p>
      <w:r>
        <w:rPr>
          <w:rFonts w:ascii="Microsoft YaHei" w:hAnsi="Microsoft YaHei" w:eastAsia="Microsoft YaHei"/>
          <w:color w:val="55697D"/>
          <w:sz w:val="18"/>
        </w:rPr>
        <w:t>作者：Will Fennie; Steven M Porter; Kelia Axler; Brooke Snyder; Alison L Deary</w:t>
      </w:r>
    </w:p>
    <w:p>
      <w:r>
        <w:rPr>
          <w:rFonts w:ascii="Microsoft YaHei" w:hAnsi="Microsoft YaHei" w:eastAsia="Microsoft YaHei"/>
          <w:color w:val="55697D"/>
          <w:sz w:val="18"/>
        </w:rPr>
        <w:t>期刊：Canadian Journal of Fisheries and Aquatic Sciences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DOI：10.1139/cjfas-2026-0035</w:t>
      </w:r>
    </w:p>
    <w:p>
      <w:r>
        <w:rPr>
          <w:rFonts w:ascii="Microsoft YaHei" w:hAnsi="Microsoft YaHei" w:eastAsia="Microsoft YaHei"/>
          <w:b/>
          <w:sz w:val="19"/>
        </w:rPr>
        <w:t>关键词：marine heatwaves</w:t>
      </w:r>
    </w:p>
    <w:p>
      <w:r>
        <w:rPr>
          <w:rFonts w:ascii="Microsoft YaHei" w:hAnsi="Microsoft YaHei" w:eastAsia="Microsoft YaHei"/>
          <w:sz w:val="17"/>
        </w:rPr>
        <w:t>摘要：最近爆​​发的大规模海洋热浪（2014-2016 年和 2019 年）期间，阿拉斯加湾水域经历了异常高温。这些变暖事件导致浮游动物和鱼类的繁殖物候发生变化，可能会在浮游动物猎物的可用性和幼鱼摄食的开始之间造成营养不匹配。为了更好地了解变暖引起的营养失配对黑貂鱼（Anoplopoma fimbria）饥饿弹性的影响，我们在实验室中在两种温度处理（6°C 和 9°C）和两种巢式喂养处理（喂食和饥饿）下饲养黑貂鱼幼体。我们测量了不归路点、每日幼虫长度、体重、卵黄囊大小轨迹以及身体形态测量。 黑貂鱼幼虫在 9°C 下达到不可返回点的时间缩短了 11 天，在 9°C 下饥饿幼虫和进食幼虫之间的长度和重量轨迹存在差异，第一次进食时卵黄囊尺寸较小，在 9°C 下较早耗尽，以及温度和喂养处理之间头骨形态的变化。这些结果表明，在阿拉斯加湾异常变暖的情况下，黑貂鱼的饥饿弹性大大降低。</w:t>
      </w:r>
    </w:p>
    <w:p>
      <w:r>
        <w:rPr>
          <w:rFonts w:ascii="Microsoft YaHei" w:hAnsi="Microsoft YaHei" w:eastAsia="Microsoft YaHei"/>
          <w:color w:val="0563C1"/>
          <w:sz w:val="18"/>
        </w:rPr>
        <w:t>链接：https://doi.org/10.1139/cjfas-2026-0035</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