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检索日期：2026-08-03 | GitHub Actions 自动生成</w:t>
      </w:r>
    </w:p>
    <w:p>
      <w:pPr>
        <w:pStyle w:val="Heading1"/>
      </w:pPr>
      <w:r>
        <w:t>今日总览</w:t>
      </w:r>
    </w:p>
    <w:p>
      <w:r>
        <w:rPr>
          <w:rFonts w:ascii="Microsoft YaHei" w:hAnsi="Microsoft YaHei" w:eastAsia="Microsoft YaHei"/>
        </w:rPr>
        <w:t>历史去重后今日新增 7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Integrating Multi-Source Environmental Variables with Sentinel-3 OLCI Imagery for Interpretable Retrieval of Eutrophication Parameters in Bohai</w:t>
      </w:r>
    </w:p>
    <w:p>
      <w:r>
        <w:rPr>
          <w:rFonts w:ascii="Microsoft YaHei" w:hAnsi="Microsoft YaHei" w:eastAsia="Microsoft YaHei"/>
          <w:color w:val="55697D"/>
          <w:sz w:val="18"/>
        </w:rPr>
        <w:t>作者：Qiguang Xing; Zhen Sun; Jingping Xu; Siwen Gao; Shanwei Liu; Yanlong Chen</w:t>
      </w:r>
    </w:p>
    <w:p>
      <w:r>
        <w:rPr>
          <w:rFonts w:ascii="Microsoft YaHei" w:hAnsi="Microsoft YaHei" w:eastAsia="Microsoft YaHei"/>
          <w:color w:val="55697D"/>
          <w:sz w:val="18"/>
        </w:rPr>
        <w:t>期刊：Remote Sensing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DOI：10.3390/rs18152527</w:t>
      </w:r>
    </w:p>
    <w:p>
      <w:r>
        <w:rPr>
          <w:rFonts w:ascii="Microsoft YaHei" w:hAnsi="Microsoft YaHei" w:eastAsia="Microsoft YaHei"/>
          <w:b/>
          <w:sz w:val="19"/>
        </w:rPr>
        <w:t>关键词：ocean colour</w:t>
      </w:r>
    </w:p>
    <w:p>
      <w:r>
        <w:rPr>
          <w:rFonts w:ascii="Microsoft YaHei" w:hAnsi="Microsoft YaHei" w:eastAsia="Microsoft YaHei"/>
          <w:sz w:val="17"/>
        </w:rPr>
        <w:t>摘要：卫星遥感技术具有时空分辨率高、长期连续观测等特点，已成为水质监测的重要工具。向海洋环境中过量输入营养物质，特别是氮和磷，会引起富营养化和一系列相关的生态问题。溶解无机氮 (DIN) 和可溶性活性磷 (SRP) 是控制水质的关键参数。然而，它们固有的弱光谱响应对构建精确的卫星反演模型提出了持续的挑战。将环境变量与光谱反射率一起纳入模型输入特征是提高反演性能的一种有前途的方法。 以渤海为例，将多源环境变量与遥感光谱特征相结合，利用贝叶斯优化和迭代特征重要度筛选策略识别最优特征组合和相应模型。 Bayes-CatBoost 在估计 DIN 和 SRP 方面表现出卓越的性能，分别实现了 0. 82 和 0. 68 的 R2 值。纳入多源环境变量后，相对于仅基于多光谱遥感数据的模型，DIN 反演误差减少了 17. 41%，SRP 反演误差减少了 16. 79%。将所提出的模型应用于 Sentinel-3 OLCI 图像可以生成渤海的每日 DIN 和 SRP 分布。 结果表明，2018年至2023年，渤海DIN和SRP浓度呈现总体稳定但略有下降的趋势，季节性变化明显，水质逐渐改善。</w:t>
      </w:r>
    </w:p>
    <w:p>
      <w:r>
        <w:rPr>
          <w:rFonts w:ascii="Microsoft YaHei" w:hAnsi="Microsoft YaHei" w:eastAsia="Microsoft YaHei"/>
          <w:color w:val="0563C1"/>
          <w:sz w:val="18"/>
        </w:rPr>
        <w:t>链接：https://doi.org/10.3390/rs18152527</w:t>
      </w:r>
    </w:p>
    <w:p>
      <w:pPr>
        <w:pStyle w:val="Heading2"/>
      </w:pPr>
      <w:r>
        <w:t>重点关注团队</w:t>
      </w:r>
    </w:p>
    <w:p>
      <w:pPr>
        <w:pStyle w:val="Heading3"/>
      </w:pPr>
      <w:r>
        <w:rPr>
          <w:rFonts w:ascii="Microsoft YaHei" w:hAnsi="Microsoft YaHei" w:eastAsia="Microsoft YaHei"/>
          <w:b/>
        </w:rPr>
        <w:t>2. A Dual-Branch Encoder–Decoder Network with Convolutional Long Short-Term Memory and Efficient Channel Attention for Forecasting Summer Marine Heatwaves in the East China Sea</w:t>
      </w:r>
    </w:p>
    <w:p>
      <w:r>
        <w:rPr>
          <w:rFonts w:ascii="Microsoft YaHei" w:hAnsi="Microsoft YaHei" w:eastAsia="Microsoft YaHei"/>
          <w:color w:val="55697D"/>
          <w:sz w:val="18"/>
        </w:rPr>
        <w:t>作者：Yinjing Zhang; An Yi; Yang Yu; Boni Wang; Wenjin Sun; Haixia Shan</w:t>
      </w:r>
    </w:p>
    <w:p>
      <w:r>
        <w:rPr>
          <w:rFonts w:ascii="Microsoft YaHei" w:hAnsi="Microsoft YaHei" w:eastAsia="Microsoft YaHei"/>
          <w:color w:val="55697D"/>
          <w:sz w:val="18"/>
        </w:rPr>
        <w:t>期刊：Journal of Marine Science and Engineering</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DOI：10.3390/jmse14151421</w:t>
      </w:r>
    </w:p>
    <w:p>
      <w:r>
        <w:rPr>
          <w:rFonts w:ascii="Microsoft YaHei" w:hAnsi="Microsoft YaHei" w:eastAsia="Microsoft YaHei"/>
          <w:b/>
          <w:sz w:val="19"/>
        </w:rPr>
        <w:t>关键词：marine heatwaves</w:t>
      </w:r>
    </w:p>
    <w:p>
      <w:r>
        <w:rPr>
          <w:rFonts w:ascii="Microsoft YaHei" w:hAnsi="Microsoft YaHei" w:eastAsia="Microsoft YaHei"/>
          <w:sz w:val="17"/>
        </w:rPr>
        <w:t>摘要：频繁的海洋热浪（MHW）威胁着海洋生态系统和经济。为了准确预测东海（ECS）MHW发生概率，本文提出了深度学习模型MHW-NET。该模型使用编码器-瓶颈-解码器双分支架构、ConvLSTM、高效通道注意力 (ECA) 以及具有焦点 Tversky 和 ​​SSIM 损失的复合损失函数。该模型使用 1982 年至 2011 年的数据进行训练，独立测试期为 2016 年至 2022 年。在第 1 至 7 天期间，MHW-NET 在黄海的表现相对较好，而在复杂的近岸区域（如渤海湾、浙江沿海和台湾北部海域）的表现则明显较差。 该模型准确刻画了重灾区的空间分布特征，再现了2016年和2022年两次极端重灾区事件的空间格局，空间相关性超过0. 85。特征重要性分析表明，海面温度和2米气温是东海地区重灾区的主要驱动因素。本研究的消融实验表明，ConvLSTM和ECA是核心模块，噪声和细化是辅助的。与基线模型的基准比较进一步证实了 MHW-NET 的优越性，展示了其改善 ECS MHW 预测和预警的潜力。</w:t>
      </w:r>
    </w:p>
    <w:p>
      <w:r>
        <w:rPr>
          <w:rFonts w:ascii="Microsoft YaHei" w:hAnsi="Microsoft YaHei" w:eastAsia="Microsoft YaHei"/>
          <w:color w:val="0563C1"/>
          <w:sz w:val="18"/>
        </w:rPr>
        <w:t>链接：https://doi.org/10.3390/jmse14151421</w:t>
      </w:r>
    </w:p>
    <w:p>
      <w:pPr>
        <w:pStyle w:val="Heading3"/>
      </w:pPr>
      <w:r>
        <w:rPr>
          <w:rFonts w:ascii="Microsoft YaHei" w:hAnsi="Microsoft YaHei" w:eastAsia="Microsoft YaHei"/>
          <w:b/>
        </w:rPr>
        <w:t>3. Contrasting Soil Organic Carbon Fractions in Woody Versus Herbaceous Coastal Riparian Habitats by Integrating Litter-Derived DOM and Edaphic Properties</w:t>
      </w:r>
    </w:p>
    <w:p>
      <w:r>
        <w:rPr>
          <w:rFonts w:ascii="Microsoft YaHei" w:hAnsi="Microsoft YaHei" w:eastAsia="Microsoft YaHei"/>
          <w:color w:val="55697D"/>
          <w:sz w:val="18"/>
        </w:rPr>
        <w:t>作者：Baohua Li; Qi Jia; Mujun Han; Xinxin Liu; Weidong Qu; Yan Fang; Fude Liu; Hailong Wu</w:t>
      </w:r>
    </w:p>
    <w:p>
      <w:r>
        <w:rPr>
          <w:rFonts w:ascii="Microsoft YaHei" w:hAnsi="Microsoft YaHei" w:eastAsia="Microsoft YaHei"/>
          <w:color w:val="55697D"/>
          <w:sz w:val="18"/>
        </w:rPr>
        <w:t>期刊：Agronomy</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DOI：10.3390/agronomy16151462</w:t>
      </w:r>
    </w:p>
    <w:p>
      <w:r>
        <w:rPr>
          <w:rFonts w:ascii="Microsoft YaHei" w:hAnsi="Microsoft YaHei" w:eastAsia="Microsoft YaHei"/>
          <w:b/>
          <w:sz w:val="19"/>
        </w:rPr>
        <w:t>关键词：carbon pump; microbial carbon</w:t>
      </w:r>
    </w:p>
    <w:p>
      <w:r>
        <w:rPr>
          <w:rFonts w:ascii="Microsoft YaHei" w:hAnsi="Microsoft YaHei" w:eastAsia="Microsoft YaHei"/>
          <w:sz w:val="17"/>
        </w:rPr>
        <w:t>摘要：沿海河岸带是陆地和水生生态系统碳循环的重要过渡区。然而，不同栖息地的凋落物来源的溶解有机物 (DOM)、土壤 DOM 组成和土壤有机碳 (SOC) 分数之间的关联仍不清楚。本研究旨在阐明木本和草本生境中的 SOC 分数分布，并评估其与凋落物来源的 DOM、土壤 DOM 组成以及沿海河岸带不同季节土壤环境因素的关系。在本研究中，木本生境在 3 月份的 SOC 含量较高，而草本生境在 11 月份的 SOC 含量较高。不同栖息地的颗粒有机碳（POC）和矿物相关有机碳（MAOC）普遍较高。 MAOC 在测量的 SOC 相关池中占很大比例，并且与 SOC 含量呈一致的正相关。 3月份土壤DOM由类蛋白质和类腐殖质成分组成，草本生境表现出较强的类蛋白质成分，木本生境表现出较强的类腐殖质成分。木质凋落物比草本凋落物渗滤液表现出更大的 DOC 和 DON 释放潜力，而凋落物中的类腐殖质 DOM 与土壤中的类腐殖质成分密切相关。不稳定SOC库主要与植被类型和电导率相关，而MAOC与土壤含水量和总磷正相关。 总体而言，沿海河岸生境中 SOC 分数的分布是由生境特定的环境因素决定的，包括植物碳输入、凋落物淋溶和土壤理化性质。这一发现对于制定有针对性的管理策略以促进沿海地区 SOC 积累至关重要。</w:t>
      </w:r>
    </w:p>
    <w:p>
      <w:r>
        <w:rPr>
          <w:rFonts w:ascii="Microsoft YaHei" w:hAnsi="Microsoft YaHei" w:eastAsia="Microsoft YaHei"/>
          <w:color w:val="0563C1"/>
          <w:sz w:val="18"/>
        </w:rPr>
        <w:t>链接：https://doi.org/10.3390/agronomy16151462</w:t>
      </w:r>
    </w:p>
    <w:p>
      <w:pPr>
        <w:pStyle w:val="Heading3"/>
      </w:pPr>
      <w:r>
        <w:rPr>
          <w:rFonts w:ascii="Microsoft YaHei" w:hAnsi="Microsoft YaHei" w:eastAsia="Microsoft YaHei"/>
          <w:b/>
        </w:rPr>
        <w:t>4. Divergent Blue Carbon Trajectories in the Yellow River Delta Post‐1976 Diversion: Hydrological Stability and Human Disturbance Contrasts Revealed by Multi‐Source Remote Sensing (1984–2023)</w:t>
      </w:r>
    </w:p>
    <w:p>
      <w:r>
        <w:rPr>
          <w:rFonts w:ascii="Microsoft YaHei" w:hAnsi="Microsoft YaHei" w:eastAsia="Microsoft YaHei"/>
          <w:color w:val="55697D"/>
          <w:sz w:val="18"/>
        </w:rPr>
        <w:t>作者：Mengqian Jiang; Haotian Liu; Zhenfang He; Zhaosheng Wang; Xuanjie Gai; Qingchun Guo; Shaowei Su</w:t>
      </w:r>
    </w:p>
    <w:p>
      <w:r>
        <w:rPr>
          <w:rFonts w:ascii="Microsoft YaHei" w:hAnsi="Microsoft YaHei" w:eastAsia="Microsoft YaHei"/>
          <w:color w:val="55697D"/>
          <w:sz w:val="18"/>
        </w:rPr>
        <w:t>期刊：Land Degradation &amp;amp; Development</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DOI：10.1002/ldr.70842</w:t>
      </w:r>
    </w:p>
    <w:p>
      <w:r>
        <w:rPr>
          <w:rFonts w:ascii="Microsoft YaHei" w:hAnsi="Microsoft YaHei" w:eastAsia="Microsoft YaHei"/>
          <w:b/>
          <w:sz w:val="19"/>
        </w:rPr>
        <w:t>关键词：ocean colour; bio-optics</w:t>
      </w:r>
    </w:p>
    <w:p>
      <w:r>
        <w:rPr>
          <w:rFonts w:ascii="Microsoft YaHei" w:hAnsi="Microsoft YaHei" w:eastAsia="Microsoft YaHei"/>
          <w:sz w:val="17"/>
        </w:rPr>
        <w:t>摘要：沿海湿地是重要的蓝色碳汇，但其在环境变化下的时空动态仍未充分量化。本研究以黄河三角洲（YRD）为天然实验室，综合了1984年至2023年的多源遥感数据，包括光学和雷达图像，以探索1976年河流改道后蓝色碳储量的演变。确定了两个不同的区域：A 区，其特点是废弃河道和沉积物匮乏；B 区，代表水文稳定的活跃河口。结果表明：（1）植被轨迹不同：从1984年到2023年，两个区域之间观察到不同的植被动态。 (2) 碳轨迹不同：1984年至2023年间，A区碳储量波动较大，范围为9. 90 × 10 4 t至407。 35×10 4 t，主要是由于土地开垦和水文条件改变。相比之下，B 区在稳定的水文投入下保持了植被动态平衡，碳储量从 33. 80 × 10 4 t 上升至 547. 01 × 10 4 t。 (3)差异性入侵影响：2010年后互花米草的入侵使B区碳储量显着增加46. 60×10 4 t。相反，A区的主要驱动因素是河流改道后的水文变化，导致盐碱化加剧。这一条件限制了互花米草的入侵。 （4）空间重组：高碳区从1984-2010年集中在芦苇为主的河岸区域转变为2010-2020年B区内互花米草入侵区。 在盐沼湿地中，水文条件是蓝碳动态的关键调节因素，主要通过控制植被覆盖和演替轨迹。</w:t>
      </w:r>
    </w:p>
    <w:p>
      <w:r>
        <w:rPr>
          <w:rFonts w:ascii="Microsoft YaHei" w:hAnsi="Microsoft YaHei" w:eastAsia="Microsoft YaHei"/>
          <w:color w:val="0563C1"/>
          <w:sz w:val="18"/>
        </w:rPr>
        <w:t>链接：https://doi.org/10.1002/ldr.70842</w:t>
      </w:r>
    </w:p>
    <w:p>
      <w:pPr>
        <w:pStyle w:val="Heading2"/>
      </w:pPr>
      <w:r>
        <w:t>其他相关期刊：按主题相关性补充</w:t>
      </w:r>
    </w:p>
    <w:p>
      <w:pPr>
        <w:pStyle w:val="Heading3"/>
      </w:pPr>
      <w:r>
        <w:rPr>
          <w:rFonts w:ascii="Microsoft YaHei" w:hAnsi="Microsoft YaHei" w:eastAsia="Microsoft YaHei"/>
          <w:b/>
        </w:rPr>
        <w:t>5. The ASTE‐BGC Data‐Assimilative Regional Ocean Biogeochemical Model</w:t>
      </w:r>
    </w:p>
    <w:p>
      <w:r>
        <w:rPr>
          <w:rFonts w:ascii="Microsoft YaHei" w:hAnsi="Microsoft YaHei" w:eastAsia="Microsoft YaHei"/>
          <w:color w:val="55697D"/>
          <w:sz w:val="18"/>
        </w:rPr>
        <w:t>作者：L. A. Moseley; G. A. McKinley; D. Carroll; D. Menemenlis; R. Dussin; A. T. Nguyen</w:t>
      </w:r>
    </w:p>
    <w:p>
      <w:r>
        <w:rPr>
          <w:rFonts w:ascii="Microsoft YaHei" w:hAnsi="Microsoft YaHei" w:eastAsia="Microsoft YaHei"/>
          <w:color w:val="55697D"/>
          <w:sz w:val="18"/>
        </w:rPr>
        <w:t>期刊：Journal of Advances in Modeling Earth Systems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DOI：10.1029/2025ms004976</w:t>
      </w:r>
    </w:p>
    <w:p>
      <w:r>
        <w:rPr>
          <w:rFonts w:ascii="Microsoft YaHei" w:hAnsi="Microsoft YaHei" w:eastAsia="Microsoft YaHei"/>
          <w:b/>
          <w:sz w:val="19"/>
        </w:rPr>
        <w:t>关键词：phytoplankton</w:t>
      </w:r>
    </w:p>
    <w:p>
      <w:r>
        <w:rPr>
          <w:rFonts w:ascii="Microsoft YaHei" w:hAnsi="Microsoft YaHei" w:eastAsia="Microsoft YaHei"/>
          <w:sz w:val="17"/>
        </w:rPr>
        <w:t>摘要：我们提出了一个数据同化区域海洋生物地球化学模型 ASTE-BGC，它模拟了 2002 年至 2017 年北大西洋的物理和生物地球化学状态。模型物理由物理状态估计 (ASTE) 提供，它同化了模型域和时间段内的原位 O(10 9 ) 和基于卫星的观测结果。模型生物地球化学由中等复杂性生物地球化学模块 (BLING) 模拟，该模块模拟九种预测生物地球化学示踪剂和三个生态类别。通过结合非正式调整和正式数学优化的三步优化过程，我们将“旋转”模拟生物地球化学状态与 O(10 5 ) BGC-Argo 以及 O 2 、NO 3 、PO 4 、溶解无机碳 (DIC) 和碱度的船基瓶数据之间的模型数据失配最小化了 43%。 首先，我们摆脱传统的生物地球化学模型启动过程，直接从 GLODAPv2 初始化这五个生物地球化学变量。 2016b 1° × 1° 气候图（失配减少 22%）。其次，我们调整太阳辐照度和光合作用之间的经验关系，以延迟模拟的春季浮游植物繁殖（错配减少 19%）。最后，我们使用格林函数方法通过敏感性实验（2% 失配减少）正式优化 7 个 BLING 生物地球化学模型参数。这一过程给所有地区带来了明显的改善，特别是在北大西洋副极地地区。 我们将无约束和优化的模型与独立卫星数据、全球海洋生物地球化学模型和基于观测的产品进行比较，以进一步证明拉布拉多海模拟 O 2 、表面海洋 pCO 2 和叶绿素-a 的改进。最后，我们对生物地球化学数据同化的挑战以及推进该领域所需的未来工作提出了看法。</w:t>
      </w:r>
    </w:p>
    <w:p>
      <w:r>
        <w:rPr>
          <w:rFonts w:ascii="Microsoft YaHei" w:hAnsi="Microsoft YaHei" w:eastAsia="Microsoft YaHei"/>
          <w:color w:val="0563C1"/>
          <w:sz w:val="18"/>
        </w:rPr>
        <w:t>链接：https://doi.org/10.1029/2025ms004976</w:t>
      </w:r>
    </w:p>
    <w:p>
      <w:pPr>
        <w:pStyle w:val="Heading3"/>
      </w:pPr>
      <w:r>
        <w:rPr>
          <w:rFonts w:ascii="Microsoft YaHei" w:hAnsi="Microsoft YaHei" w:eastAsia="Microsoft YaHei"/>
          <w:b/>
        </w:rPr>
        <w:t>6. Potential Drivers of Northwest Pacific Marine Heatwaves Inferred from Adjoint Sensitivities</w:t>
      </w:r>
    </w:p>
    <w:p>
      <w:r>
        <w:rPr>
          <w:rFonts w:ascii="Microsoft YaHei" w:hAnsi="Microsoft YaHei" w:eastAsia="Microsoft YaHei"/>
          <w:color w:val="55697D"/>
          <w:sz w:val="18"/>
        </w:rPr>
        <w:t>作者：Xiaoxue Wang</w:t>
      </w:r>
    </w:p>
    <w:p>
      <w:r>
        <w:rPr>
          <w:rFonts w:ascii="Microsoft YaHei" w:hAnsi="Microsoft YaHei" w:eastAsia="Microsoft YaHei"/>
          <w:color w:val="55697D"/>
          <w:sz w:val="18"/>
        </w:rPr>
        <w:t>期刊：Weather and Climate Extremes</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DOI：10.1016/j.wace.2026.100942</w:t>
      </w:r>
    </w:p>
    <w:p>
      <w:r>
        <w:rPr>
          <w:rFonts w:ascii="Microsoft YaHei" w:hAnsi="Microsoft YaHei" w:eastAsia="Microsoft YaHei"/>
          <w:b/>
          <w:sz w:val="19"/>
        </w:rPr>
        <w:t>关键词：marine heatwaves</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链接：https://doi.org/10.1016/j.wace.2026.100942</w:t>
      </w:r>
    </w:p>
    <w:p>
      <w:pPr>
        <w:pStyle w:val="Heading3"/>
      </w:pPr>
      <w:r>
        <w:rPr>
          <w:rFonts w:ascii="Microsoft YaHei" w:hAnsi="Microsoft YaHei" w:eastAsia="Microsoft YaHei"/>
          <w:b/>
        </w:rPr>
        <w:t>7. Geomorphic and Remote Sensing‐Based Evaluation of Active Faults and Geological Hazards in the Muzaffarabad Region, NW Himalaya</w:t>
      </w:r>
    </w:p>
    <w:p>
      <w:r>
        <w:rPr>
          <w:rFonts w:ascii="Microsoft YaHei" w:hAnsi="Microsoft YaHei" w:eastAsia="Microsoft YaHei"/>
          <w:color w:val="55697D"/>
          <w:sz w:val="18"/>
        </w:rPr>
        <w:t>作者：Waqar Ayub; Ahmed Nabi; Muhammad Jabran; Dawar Abbas; Rahat Ullah; Muhammad Nadeem</w:t>
      </w:r>
    </w:p>
    <w:p>
      <w:r>
        <w:rPr>
          <w:rFonts w:ascii="Microsoft YaHei" w:hAnsi="Microsoft YaHei" w:eastAsia="Microsoft YaHei"/>
          <w:color w:val="55697D"/>
          <w:sz w:val="18"/>
        </w:rPr>
        <w:t>期刊：Geological Journal</w:t>
      </w:r>
    </w:p>
    <w:p>
      <w:r>
        <w:rPr>
          <w:rFonts w:ascii="Microsoft YaHei" w:hAnsi="Microsoft YaHei" w:eastAsia="Microsoft YaHei"/>
          <w:color w:val="55697D"/>
          <w:sz w:val="18"/>
        </w:rPr>
        <w:t>发表月份：2026-08</w:t>
      </w:r>
    </w:p>
    <w:p>
      <w:r>
        <w:rPr>
          <w:rFonts w:ascii="Microsoft YaHei" w:hAnsi="Microsoft YaHei" w:eastAsia="Microsoft YaHei"/>
          <w:color w:val="55697D"/>
          <w:sz w:val="18"/>
        </w:rPr>
        <w:t>DOI：10.1002/gj.70422</w:t>
      </w:r>
    </w:p>
    <w:p>
      <w:r>
        <w:rPr>
          <w:rFonts w:ascii="Microsoft YaHei" w:hAnsi="Microsoft YaHei" w:eastAsia="Microsoft YaHei"/>
          <w:b/>
          <w:sz w:val="19"/>
        </w:rPr>
        <w:t>关键词：ocean colour</w:t>
      </w:r>
    </w:p>
    <w:p>
      <w:r>
        <w:rPr>
          <w:rFonts w:ascii="Microsoft YaHei" w:hAnsi="Microsoft YaHei" w:eastAsia="Microsoft YaHei"/>
          <w:sz w:val="17"/>
        </w:rPr>
        <w:t>摘要：地貌特征、排水模式和地形是活动构造的关键指标。这项研究研究了穆扎法拉巴德地区的地貌特征和地质灾害，特别是地震和山体滑坡。研究结果有助于减少灾害风险和实现可持续发展目标（SDG）。利用实地地貌研究和卫星图像分析该地区的地貌特征。利用航天飞机雷达地形任务数字高程模型（SRTM DEM）计算了五种地貌指数，即不对称因子（AF）、流域形状指数（Db）、坡度分析、谷底宽高比（V f ）和测高曲线。 杰赫勒姆断层和穆扎法拉巴德断层附近的排水偏移、河流偏转、刻面山刺、地震活动、变形的近期沉积物和点坝解剖等特征表明存在左旋斜滑运动，表明这些断层的构造活动性质。地貌和新构造学分析得出的结论是，穆扎法拉巴德地区极易发生地震和山体滑坡，特别是在受断层影响的地区。使用 ArcGIS 中的多标准决策分析 (MCDA) 进行洪水敏感性分析，通过识别洪水易发区域来增强气候适应能力和备灾 (SDG 13) 和支持 (SDG 6)。确定了三个高风险洪水区：尼勒姆河与沙瓦伊纳拉河交汇处、杰赫勒姆河与尼勒姆河在多梅尔交汇处以及洛哈尔加利滑坡附近的低洼地区。 这项研究强调了整合形态测量、地貌和地理空间技术对于有效减少灾害风险（可持续发展目标 11 和 13）、气候适应型基础设施（可持续发展目标 9）、实现可持续发展目标 6 和可持续城市发展、确保构造活跃地区的长期安全的重要性。此外，本研究中的方法整合了多种现有技术，可以扩展到其他地区的危害评估。</w:t>
      </w:r>
    </w:p>
    <w:p>
      <w:r>
        <w:rPr>
          <w:rFonts w:ascii="Microsoft YaHei" w:hAnsi="Microsoft YaHei" w:eastAsia="Microsoft YaHei"/>
          <w:color w:val="0563C1"/>
          <w:sz w:val="18"/>
        </w:rPr>
        <w:t>链接：https://doi.org/10.1002/gj.70422</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