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检索日期：2026-08-05 | GitHub Actions 自动生成</w:t>
      </w:r>
    </w:p>
    <w:p>
      <w:pPr>
        <w:pStyle w:val="Heading1"/>
      </w:pPr>
      <w:r>
        <w:t>今日总览</w:t>
      </w:r>
    </w:p>
    <w:p>
      <w:r>
        <w:rPr>
          <w:rFonts w:ascii="Microsoft YaHei" w:hAnsi="Microsoft YaHei" w:eastAsia="Microsoft YaHei"/>
        </w:rPr>
        <w:t>历史去重后今日新增 8 篇。排序规则：Nature 系列、Science 系列、其余重点期刊、重点关注团队、其他相关补充论文。</w:t>
      </w:r>
    </w:p>
    <w:p>
      <w:pPr>
        <w:pStyle w:val="Heading1"/>
      </w:pPr>
      <w:r>
        <w:t>论文速读</w:t>
      </w:r>
    </w:p>
    <w:p>
      <w:pPr>
        <w:pStyle w:val="Heading2"/>
      </w:pPr>
      <w:r>
        <w:t>Nature 系列</w:t>
      </w:r>
    </w:p>
    <w:p>
      <w:pPr>
        <w:pStyle w:val="Heading3"/>
      </w:pPr>
      <w:r>
        <w:rPr>
          <w:rFonts w:ascii="Microsoft YaHei" w:hAnsi="Microsoft YaHei" w:eastAsia="Microsoft YaHei"/>
          <w:b/>
        </w:rPr>
        <w:t>1. Coupled air–sea interactions drove and sustained the 2013–2016 North Pacific marine heatwave</w:t>
      </w:r>
    </w:p>
    <w:p>
      <w:r>
        <w:rPr>
          <w:rFonts w:ascii="Microsoft YaHei" w:hAnsi="Microsoft YaHei" w:eastAsia="Microsoft YaHei"/>
          <w:color w:val="55697D"/>
          <w:sz w:val="18"/>
        </w:rPr>
        <w:t>作者：Wenrui Jiang; Gaël Forget; Yuanyuan Song; Thomas W. N. Haine</w:t>
      </w:r>
    </w:p>
    <w:p>
      <w:r>
        <w:rPr>
          <w:rFonts w:ascii="Microsoft YaHei" w:hAnsi="Microsoft YaHei" w:eastAsia="Microsoft YaHei"/>
          <w:color w:val="55697D"/>
          <w:sz w:val="18"/>
        </w:rPr>
        <w:t>期刊：Nature</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DOI：10.1038/s41467-026-76096-0</w:t>
      </w:r>
    </w:p>
    <w:p>
      <w:r>
        <w:rPr>
          <w:rFonts w:ascii="Microsoft YaHei" w:hAnsi="Microsoft YaHei" w:eastAsia="Microsoft YaHei"/>
          <w:b/>
          <w:sz w:val="19"/>
        </w:rPr>
        <w:t>关键词：marine heatwaves</w:t>
      </w:r>
    </w:p>
    <w:p>
      <w:r>
        <w:rPr>
          <w:rFonts w:ascii="Microsoft YaHei" w:hAnsi="Microsoft YaHei" w:eastAsia="Microsoft YaHei"/>
          <w:sz w:val="17"/>
        </w:rPr>
        <w:t>摘要：2013年至2016年东北太平洋的海洋热浪（MHW）是有记录以来最强烈的温带海洋变暖事件之一。其复杂的演变使得理解对于预测未来 MHW 至关重要的潜在动态的努力变得复杂。在这里，我们使用封闭的三维拉格朗日热收支来跟踪 MHW，该热收支量化了驱动其演化的过程。三维粒子轨迹将 MHW 分为北部和南部部分，并揭示它们具有不同的运动学起源。我们通过封闭预算定量证明，平流而不是表面强迫在维持 MHW 的热含量方面发挥着主导作用。北半球的维持是由于北太平洋洋流埃克曼热传输减弱，加上冬季地表热损失减少。 南部部分是由加州洋流沿岸风减弱导致的埃克曼上升流减弱驱动的。我们进一步确定了太平洋中部上空持续存在的低海平面气压异常，该异常改变了风型，将热量和湿气重新分配到极地，最终迫使MHW的两个部分。地表温度升高反过来放大了这种压力异常，完成了一个正反馈循环，使该事件持续了多年。</w:t>
      </w:r>
    </w:p>
    <w:p>
      <w:r>
        <w:rPr>
          <w:rFonts w:ascii="Microsoft YaHei" w:hAnsi="Microsoft YaHei" w:eastAsia="Microsoft YaHei"/>
          <w:color w:val="0563C1"/>
          <w:sz w:val="18"/>
        </w:rPr>
        <w:t>链接：https://doi.org/10.1038/s41467-026-76096-0</w:t>
      </w:r>
    </w:p>
    <w:p>
      <w:pPr>
        <w:pStyle w:val="Heading2"/>
      </w:pPr>
      <w:r>
        <w:t>重点期刊：按影响力和相关性排序</w:t>
      </w:r>
    </w:p>
    <w:p>
      <w:pPr>
        <w:pStyle w:val="Heading3"/>
      </w:pPr>
      <w:r>
        <w:rPr>
          <w:rFonts w:ascii="Microsoft YaHei" w:hAnsi="Microsoft YaHei" w:eastAsia="Microsoft YaHei"/>
          <w:b/>
        </w:rPr>
        <w:t>2. Climate warming drives multidimensional reorganization of global zooplankton community structure and function: an updated review</w:t>
      </w:r>
    </w:p>
    <w:p>
      <w:r>
        <w:rPr>
          <w:rFonts w:ascii="Microsoft YaHei" w:hAnsi="Microsoft YaHei" w:eastAsia="Microsoft YaHei"/>
          <w:color w:val="55697D"/>
          <w:sz w:val="18"/>
        </w:rPr>
        <w:t>作者：Zhongwei Chen; Lingxiao Hang; Haihua Xu; Cuiqiong Zhao; Yanzhe Ding; Lihua Li; Chao Yuan; Huihuang Jiang</w:t>
      </w:r>
    </w:p>
    <w:p>
      <w:r>
        <w:rPr>
          <w:rFonts w:ascii="Microsoft YaHei" w:hAnsi="Microsoft YaHei" w:eastAsia="Microsoft YaHei"/>
          <w:color w:val="55697D"/>
          <w:sz w:val="18"/>
        </w:rPr>
        <w:t>期刊：Frontiers in Marine Science</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DOI：10.3389/fmars.2026.1913202</w:t>
      </w:r>
    </w:p>
    <w:p>
      <w:r>
        <w:rPr>
          <w:rFonts w:ascii="Microsoft YaHei" w:hAnsi="Microsoft YaHei" w:eastAsia="Microsoft YaHei"/>
          <w:b/>
          <w:sz w:val="19"/>
        </w:rPr>
        <w:t>关键词：carbon pump; marine heatwaves; microbial carbon; vertical structure</w:t>
      </w:r>
    </w:p>
    <w:p>
      <w:r>
        <w:rPr>
          <w:rFonts w:ascii="Microsoft YaHei" w:hAnsi="Microsoft YaHei" w:eastAsia="Microsoft YaHei"/>
          <w:sz w:val="17"/>
        </w:rPr>
        <w:t>摘要：气候变化正在通过海洋变暖、分层加剧、酸化、脱氧、海冰消失和日益频繁的海洋热浪来重组浮游动物栖息地。这些相互作用的驱动因素充当浮游动物特征的环境过滤器，导致物种分布、群落组成、体型结构、物候、生活史策略和垂直栖息地利用的变化。由此产生的功能反应超出了放牧范围，包括次级生产、营养转移、养分再生、微生物循环处理、粪便颗粒和尸体输出以及迁移介导的活性碳运输的转变。然而，这些反应在不同的分类单元或区域之间并不统一。 微型浮游动物、甲壳类中型浮游动物、磷虾、樽海鞘、阑尾动物、水母和栉水母在热敏感性、摄食策略、猎物大小偏好、颗粒产生和对生物碳泵的贡献方面存在显着差异。因此，气候驱动的群落重组可能会加强、削弱或改变生态系统过程，而不是导致放牧控制或碳输出效率的单一、可预测的下降。本综述综合了驾驶员特征结构功能反馈框架内的当前证据，评估了分类和区域变异性，并确定了主要的方法和建模不确定性。 整合长期观测、基于性状的分析、多因素实验、分子监测和基于过程的模型对于预测持续气候变化下浮游动物重组如何影响海洋食物网和生物地球化学循环至关重要。</w:t>
      </w:r>
    </w:p>
    <w:p>
      <w:r>
        <w:rPr>
          <w:rFonts w:ascii="Microsoft YaHei" w:hAnsi="Microsoft YaHei" w:eastAsia="Microsoft YaHei"/>
          <w:color w:val="0563C1"/>
          <w:sz w:val="18"/>
        </w:rPr>
        <w:t>链接：https://doi.org/10.3389/fmars.2026.1913202</w:t>
      </w:r>
    </w:p>
    <w:p>
      <w:pPr>
        <w:pStyle w:val="Heading2"/>
      </w:pPr>
      <w:r>
        <w:t>重点关注团队</w:t>
      </w:r>
    </w:p>
    <w:p>
      <w:pPr>
        <w:pStyle w:val="Heading3"/>
      </w:pPr>
      <w:r>
        <w:rPr>
          <w:rFonts w:ascii="Microsoft YaHei" w:hAnsi="Microsoft YaHei" w:eastAsia="Microsoft YaHei"/>
          <w:b/>
        </w:rPr>
        <w:t>3. A Multi-Scale Underwater Laser Image Restoration Method with Polarization Feature Constraints</w:t>
      </w:r>
    </w:p>
    <w:p>
      <w:r>
        <w:rPr>
          <w:rFonts w:ascii="Microsoft YaHei" w:hAnsi="Microsoft YaHei" w:eastAsia="Microsoft YaHei"/>
          <w:color w:val="55697D"/>
          <w:sz w:val="18"/>
        </w:rPr>
        <w:t>作者：Junqi Yan; Xun Yu</w:t>
      </w:r>
    </w:p>
    <w:p>
      <w:r>
        <w:rPr>
          <w:rFonts w:ascii="Microsoft YaHei" w:hAnsi="Microsoft YaHei" w:eastAsia="Microsoft YaHei"/>
          <w:color w:val="55697D"/>
          <w:sz w:val="18"/>
        </w:rPr>
        <w:t>期刊：Journal of Marine Science and Engineering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DOI：10.3390/jmse14151432</w:t>
      </w:r>
    </w:p>
    <w:p>
      <w:r>
        <w:rPr>
          <w:rFonts w:ascii="Microsoft YaHei" w:hAnsi="Microsoft YaHei" w:eastAsia="Microsoft YaHei"/>
          <w:b/>
          <w:sz w:val="19"/>
        </w:rPr>
        <w:t>关键词：backscattering; bio-optics</w:t>
      </w:r>
    </w:p>
    <w:p>
      <w:r>
        <w:rPr>
          <w:rFonts w:ascii="Microsoft YaHei" w:hAnsi="Microsoft YaHei" w:eastAsia="Microsoft YaHei"/>
          <w:sz w:val="17"/>
        </w:rPr>
        <w:t>摘要：水下激光成像广泛应用于深海勘探、水下自主导航和海洋基础设施检查等需要在光学挑战性条件下进行高精度观测的领域。这些成像系统本质上受到吸收衰减、体积散射和反向散射噪声的限制，导致可见度降低、对比度低和结构细节丢失。在这项研究中，我们提出了一种偏振约束多尺度去雾和恢复（PCMS-DR）算法，专为浑浊和异构水生环境而设计，特别针对水下工程结构、管道和其他感兴趣的物体。 该方法将偏振特征约束与多尺度分解相结合，实现反向散射光和目标反射信号的稳健分离，同时保留高频结构信息。为了定量评估所提出的框架，采用了两种互补的验证策略。首先，进行偏振分辨蒙特卡罗光子传播模拟，以生成物理一致的合成水下激光图像，以便在不同散射条件下进行受控分析。其次，使用在代表性水生环境下收集的 12 个自行获取的沿海水下激光成像场景进行现实世界验证。分别对模拟数据集和实验数据集进行分析，以确保定量评估准确反映物理修复能力和实际适用性。 蒙特卡罗模拟实验的定量结果表明，所提出的 PCMS-DR 方法在代表性低浊度条件下实现了 26. 52 dB 的峰值 PSNR 和 0. 836 的 SSIM，优于仅偏振和仅多尺度基线。此外，对包含 12 个沿海场景的自获取真实水下激光成像数据集的评估表明，平均反向散射抑制率为 22. 3%，局部对比度增强率为 1. 62。这些结果证实，所提出的方法在受控模拟和实际成像场景中提高了图像可见性和结构保存。此外，对12个真实沿海水下激光成像场景进行评估，平均后向散射抑制率为22. 3%，局部对比度增强率为1. 62，表明可见度、对比度和结构保真度有所提高。该框架的主要新颖之处在于将偏振约束反向散射建模、多尺度传输估计和物理引导细节恢复统一集成在单个优化框架内。实验结果表明，所提出的 PCMS-DR 框架在水下激光成像应用的测试浊度范围内提供了物理可解释且有效的恢复性能。</w:t>
      </w:r>
    </w:p>
    <w:p>
      <w:r>
        <w:rPr>
          <w:rFonts w:ascii="Microsoft YaHei" w:hAnsi="Microsoft YaHei" w:eastAsia="Microsoft YaHei"/>
          <w:color w:val="0563C1"/>
          <w:sz w:val="18"/>
        </w:rPr>
        <w:t>链接：https://doi.org/10.3390/jmse14151432</w:t>
      </w:r>
    </w:p>
    <w:p>
      <w:pPr>
        <w:pStyle w:val="Heading3"/>
      </w:pPr>
      <w:r>
        <w:rPr>
          <w:rFonts w:ascii="Microsoft YaHei" w:hAnsi="Microsoft YaHei" w:eastAsia="Microsoft YaHei"/>
          <w:b/>
        </w:rPr>
        <w:t>4. Characteristics of the spatial distribution of nitrogen and phosphorus nutrients in the upper waters of the northwest Indian Ocean during the dry season</w:t>
      </w:r>
    </w:p>
    <w:p>
      <w:r>
        <w:rPr>
          <w:rFonts w:ascii="Microsoft YaHei" w:hAnsi="Microsoft YaHei" w:eastAsia="Microsoft YaHei"/>
          <w:color w:val="55697D"/>
          <w:sz w:val="18"/>
        </w:rPr>
        <w:t>作者：Yuan Wang; Haopeng Hu; Ruohan Zhou; Ying Wang; Longyu Liu; Hanfeng Zheng; Lingzhi Li; Chao Li; et al.</w:t>
      </w:r>
    </w:p>
    <w:p>
      <w:r>
        <w:rPr>
          <w:rFonts w:ascii="Microsoft YaHei" w:hAnsi="Microsoft YaHei" w:eastAsia="Microsoft YaHei"/>
          <w:color w:val="55697D"/>
          <w:sz w:val="18"/>
        </w:rPr>
        <w:t>期刊：Israeli Journal of Aquaculture - Bamidgeh</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DOI：10.46989/001c.165100</w:t>
      </w:r>
    </w:p>
    <w:p>
      <w:r>
        <w:rPr>
          <w:rFonts w:ascii="Microsoft YaHei" w:hAnsi="Microsoft YaHei" w:eastAsia="Microsoft YaHei"/>
          <w:b/>
          <w:sz w:val="19"/>
        </w:rPr>
        <w:t>关键词：phytoplankton; vertical structure</w:t>
      </w:r>
    </w:p>
    <w:p>
      <w:r>
        <w:rPr>
          <w:rFonts w:ascii="Microsoft YaHei" w:hAnsi="Microsoft YaHei" w:eastAsia="Microsoft YaHei"/>
          <w:sz w:val="17"/>
        </w:rPr>
        <w:t>摘要：氮、磷营养盐的空间分布是调节海洋生态系统结构和功能的关键因素。西北印度洋作为典型的季风驱动海区，缺乏对旱季上部海域营养盐分布特征和主导控制机制的系统研究。 2023年12月下旬至2024年2月中旬，在西北印度洋（0. 5°N-18°N，59. 5°E-67. 5°E）开展环境调查，设立102个调查站。测定海水温度、盐度、各种形态的氮磷营养盐和叶绿素a含量，分析其水平和垂直分布特征，探讨营养盐结构和控制分布的主要因素。 结果表明，该海域各营养盐空间分布格局清晰，垂直分层明显。亚表层下亚硝酸盐氮最大值出现在70 m处，铵态氮均匀分布在上水层。研究成果丰富了西北印度洋旱季营养盐基础数据，为了解该海域生物地球化学过程和渔业资源管理提供科学支撑。</w:t>
      </w:r>
    </w:p>
    <w:p>
      <w:r>
        <w:rPr>
          <w:rFonts w:ascii="Microsoft YaHei" w:hAnsi="Microsoft YaHei" w:eastAsia="Microsoft YaHei"/>
          <w:color w:val="0563C1"/>
          <w:sz w:val="18"/>
        </w:rPr>
        <w:t>链接：https://doi.org/10.46989/001c.165100</w:t>
      </w:r>
    </w:p>
    <w:p>
      <w:pPr>
        <w:pStyle w:val="Heading3"/>
      </w:pPr>
      <w:r>
        <w:rPr>
          <w:rFonts w:ascii="Microsoft YaHei" w:hAnsi="Microsoft YaHei" w:eastAsia="Microsoft YaHei"/>
          <w:b/>
        </w:rPr>
        <w:t>5. When water turns toxic: how climate change drives cyanotoxin biosynthesis-A mechanistic review</w:t>
      </w:r>
    </w:p>
    <w:p>
      <w:r>
        <w:rPr>
          <w:rFonts w:ascii="Microsoft YaHei" w:hAnsi="Microsoft YaHei" w:eastAsia="Microsoft YaHei"/>
          <w:color w:val="55697D"/>
          <w:sz w:val="18"/>
        </w:rPr>
        <w:t>作者：Ayesha Shakoor; Yanyan Zhang; Yimeng Li; Kun Shan; Chaorui Yan; Yang Li; Xiaoyan Tang; Yingjie Wu; et al.</w:t>
      </w:r>
    </w:p>
    <w:p>
      <w:r>
        <w:rPr>
          <w:rFonts w:ascii="Microsoft YaHei" w:hAnsi="Microsoft YaHei" w:eastAsia="Microsoft YaHei"/>
          <w:color w:val="55697D"/>
          <w:sz w:val="18"/>
        </w:rPr>
        <w:t>期刊：World Journal of Microbiology and Biotechnology</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DOI：10.1007/s11274-026-05177-5</w:t>
      </w:r>
    </w:p>
    <w:p>
      <w:r>
        <w:rPr>
          <w:rFonts w:ascii="Microsoft YaHei" w:hAnsi="Microsoft YaHei" w:eastAsia="Microsoft YaHei"/>
          <w:b/>
          <w:sz w:val="19"/>
        </w:rPr>
        <w:t>关键词：ocean biogeochemistry</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链接：https://doi.org/10.1007/s11274-026-05177-5</w:t>
      </w:r>
    </w:p>
    <w:p>
      <w:pPr>
        <w:pStyle w:val="Heading3"/>
      </w:pPr>
      <w:r>
        <w:rPr>
          <w:rFonts w:ascii="Microsoft YaHei" w:hAnsi="Microsoft YaHei" w:eastAsia="Microsoft YaHei"/>
          <w:b/>
        </w:rPr>
        <w:t>6. Taxon-specific metabarcoding provides new insights into marine phytoplankton diversity and ecological interactions: a case study of Kareniaceae in China’s coastal seas</w:t>
      </w:r>
    </w:p>
    <w:p>
      <w:r>
        <w:rPr>
          <w:rFonts w:ascii="Microsoft YaHei" w:hAnsi="Microsoft YaHei" w:eastAsia="Microsoft YaHei"/>
          <w:color w:val="55697D"/>
          <w:sz w:val="18"/>
        </w:rPr>
        <w:t>作者：Chao Liu; Qingchun Zhang; Junlan Hang; Xiaoyang Yu; Fanzhou Kong; Rencheng Yu</w:t>
      </w:r>
    </w:p>
    <w:p>
      <w:r>
        <w:rPr>
          <w:rFonts w:ascii="Microsoft YaHei" w:hAnsi="Microsoft YaHei" w:eastAsia="Microsoft YaHei"/>
          <w:color w:val="55697D"/>
          <w:sz w:val="18"/>
        </w:rPr>
        <w:t>期刊：Marine Environmental Research</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DOI：10.1016/j.marenvres.2026.108326</w:t>
      </w:r>
    </w:p>
    <w:p>
      <w:r>
        <w:rPr>
          <w:rFonts w:ascii="Microsoft YaHei" w:hAnsi="Microsoft YaHei" w:eastAsia="Microsoft YaHei"/>
          <w:b/>
          <w:sz w:val="19"/>
        </w:rPr>
        <w:t>关键词：phytoplankton</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链接：https://doi.org/10.1016/j.marenvres.2026.108326</w:t>
      </w:r>
    </w:p>
    <w:p>
      <w:pPr>
        <w:pStyle w:val="Heading2"/>
      </w:pPr>
      <w:r>
        <w:t>其他相关期刊：按主题相关性补充</w:t>
      </w:r>
    </w:p>
    <w:p>
      <w:pPr>
        <w:pStyle w:val="Heading3"/>
      </w:pPr>
      <w:r>
        <w:rPr>
          <w:rFonts w:ascii="Microsoft YaHei" w:hAnsi="Microsoft YaHei" w:eastAsia="Microsoft YaHei"/>
          <w:b/>
        </w:rPr>
        <w:t>7. Tropical and North Pacific coupling at decadal timescales shapes basin variability and marine heatwaves</w:t>
      </w:r>
    </w:p>
    <w:p>
      <w:r>
        <w:rPr>
          <w:rFonts w:ascii="Microsoft YaHei" w:hAnsi="Microsoft YaHei" w:eastAsia="Microsoft YaHei"/>
          <w:color w:val="55697D"/>
          <w:sz w:val="18"/>
        </w:rPr>
        <w:t>作者：Antonietta Capotondi; Tongtong Xu; Matthew Newman; Emanuele Di Lorenzo; Daniel Vimont</w:t>
      </w:r>
    </w:p>
    <w:p>
      <w:r>
        <w:rPr>
          <w:rFonts w:ascii="Microsoft YaHei" w:hAnsi="Microsoft YaHei" w:eastAsia="Microsoft YaHei"/>
          <w:color w:val="55697D"/>
          <w:sz w:val="18"/>
        </w:rPr>
        <w:t>期刊：Communications Earth &amp;amp; Environment</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DOI：10.1038/s43247-026-03864-7</w:t>
      </w:r>
    </w:p>
    <w:p>
      <w:r>
        <w:rPr>
          <w:rFonts w:ascii="Microsoft YaHei" w:hAnsi="Microsoft YaHei" w:eastAsia="Microsoft YaHei"/>
          <w:b/>
          <w:sz w:val="19"/>
        </w:rPr>
        <w:t>关键词：marine heatwaves</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链接：https://doi.org/10.1038/s43247-026-03864-7</w:t>
      </w:r>
    </w:p>
    <w:p>
      <w:pPr>
        <w:pStyle w:val="Heading3"/>
      </w:pPr>
      <w:r>
        <w:rPr>
          <w:rFonts w:ascii="Microsoft YaHei" w:hAnsi="Microsoft YaHei" w:eastAsia="Microsoft YaHei"/>
          <w:b/>
        </w:rPr>
        <w:t>8. Spatio-temporal Soil Loss Pattern Analysis of Markham River Basin Through Remote Sensing and GIS Techniques</w:t>
      </w:r>
    </w:p>
    <w:p>
      <w:r>
        <w:rPr>
          <w:rFonts w:ascii="Microsoft YaHei" w:hAnsi="Microsoft YaHei" w:eastAsia="Microsoft YaHei"/>
          <w:color w:val="55697D"/>
          <w:sz w:val="18"/>
        </w:rPr>
        <w:t>作者：Cathy Koloa; Sailesh Samanta</w:t>
      </w:r>
    </w:p>
    <w:p>
      <w:r>
        <w:rPr>
          <w:rFonts w:ascii="Microsoft YaHei" w:hAnsi="Microsoft YaHei" w:eastAsia="Microsoft YaHei"/>
          <w:color w:val="55697D"/>
          <w:sz w:val="18"/>
        </w:rPr>
        <w:t>期刊：Melanesian Journal of Geomatics and Property Studies</w:t>
      </w:r>
    </w:p>
    <w:p>
      <w:r>
        <w:rPr>
          <w:rFonts w:ascii="Microsoft YaHei" w:hAnsi="Microsoft YaHei" w:eastAsia="Microsoft YaHei"/>
          <w:color w:val="55697D"/>
          <w:sz w:val="18"/>
        </w:rPr>
        <w:t>发表月份：2015-07</w:t>
      </w:r>
    </w:p>
    <w:p>
      <w:r>
        <w:rPr>
          <w:rFonts w:ascii="Microsoft YaHei" w:hAnsi="Microsoft YaHei" w:eastAsia="Microsoft YaHei"/>
          <w:color w:val="55697D"/>
          <w:sz w:val="18"/>
        </w:rPr>
        <w:t>DOI：10.63900/jzsqd680</w:t>
      </w:r>
    </w:p>
    <w:p>
      <w:r>
        <w:rPr>
          <w:rFonts w:ascii="Microsoft YaHei" w:hAnsi="Microsoft YaHei" w:eastAsia="Microsoft YaHei"/>
          <w:b/>
          <w:sz w:val="19"/>
        </w:rPr>
        <w:t>关键词：ocean colour</w:t>
      </w:r>
    </w:p>
    <w:p>
      <w:r>
        <w:rPr>
          <w:rFonts w:ascii="Microsoft YaHei" w:hAnsi="Microsoft YaHei" w:eastAsia="Microsoft YaHei"/>
          <w:sz w:val="17"/>
        </w:rPr>
        <w:t>摘要：遥感（RS）和地理信息系统（GIS）技术应用的技术进步使我们能够根据不同的独立参数估计流域特征和土壤流失。本研究的目标包括万锦河流域土地利用和土地覆盖、坡度模式和时间土壤流失模式的空间制图。使用通用土壤流失方程（USLE）和修订的通用土壤流失方程（RUSLE）等预测模型来估计土壤侵蚀引起的土壤流失。 RUSLE 模型中使用的不同强制性输入参数，即降雨和径流因子（R）、土壤可蚀性因子（K）、坡长和陡度因子（LS）、作物管理因子/覆盖因子（C）和保护实践因子（P），均来自遥感数据或传统数据收集系统。 1992年和2001年的土地利用/土地覆盖数据来自卫星图像，使用监督分类技术寻找C因子，这是时空土壤流失分析最重要的因素之一。 ArcGIS v-10 空间分析工具。 1和ERDAS IMAGINE v-11软件的模型制作工具用于生成所有输入参数并估计时空土壤流失。选择面积约 12765. 91 平方公里的万锦河流域作为研究区域，计算出平均土壤流失量为 8. 4 吨/英亩/年。该研究强调，采用 RS 和 GIS 技术的 RUSLE 模型方法对于不同水文参数建模以及为巴布亚新几内亚任何流域创建风险图具有巨大潜力。</w:t>
      </w:r>
    </w:p>
    <w:p>
      <w:r>
        <w:rPr>
          <w:rFonts w:ascii="Microsoft YaHei" w:hAnsi="Microsoft YaHei" w:eastAsia="Microsoft YaHei"/>
          <w:color w:val="0563C1"/>
          <w:sz w:val="18"/>
        </w:rPr>
        <w:t>链接：https://doi.org/10.63900/jzsqd680</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