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检索日期：2026-08-06 | GitHub Actions 自动生成</w:t>
      </w:r>
    </w:p>
    <w:p>
      <w:pPr>
        <w:pStyle w:val="Heading1"/>
      </w:pPr>
      <w:r>
        <w:t>今日总览</w:t>
      </w:r>
    </w:p>
    <w:p>
      <w:r>
        <w:rPr>
          <w:rFonts w:ascii="Microsoft YaHei" w:hAnsi="Microsoft YaHei" w:eastAsia="Microsoft YaHei"/>
        </w:rPr>
        <w:t>历史去重后今日新增 7 篇。排序规则：Nature 系列、Science 系列、其余重点期刊、重点关注团队、其他相关补充论文。</w:t>
      </w:r>
    </w:p>
    <w:p>
      <w:pPr>
        <w:pStyle w:val="Heading1"/>
      </w:pPr>
      <w:r>
        <w:t>论文速读</w:t>
      </w:r>
    </w:p>
    <w:p>
      <w:pPr>
        <w:pStyle w:val="Heading2"/>
      </w:pPr>
      <w:r>
        <w:t>重点关注团队</w:t>
      </w:r>
    </w:p>
    <w:p>
      <w:pPr>
        <w:pStyle w:val="Heading3"/>
      </w:pPr>
      <w:r>
        <w:rPr>
          <w:rFonts w:ascii="Microsoft YaHei" w:hAnsi="Microsoft YaHei" w:eastAsia="Microsoft YaHei"/>
          <w:b/>
        </w:rPr>
        <w:t>1. Satellite-Derived Chlorophyll-a Phenology and Recurrent High-Chl-a Exceedance Screening in Fujian Coastal Bays, China</w:t>
      </w:r>
    </w:p>
    <w:p>
      <w:r>
        <w:rPr>
          <w:rFonts w:ascii="Microsoft YaHei" w:hAnsi="Microsoft YaHei" w:eastAsia="Microsoft YaHei"/>
          <w:color w:val="55697D"/>
          <w:sz w:val="18"/>
        </w:rPr>
        <w:t>作者：Dongren Li; Boming Zhou; Jiayuan Fu; Guoye Zhao; Xiaohe Lai; Yan Su; Chuan Lin; Xiudong Xie</w:t>
      </w:r>
    </w:p>
    <w:p>
      <w:r>
        <w:rPr>
          <w:rFonts w:ascii="Microsoft YaHei" w:hAnsi="Microsoft YaHei" w:eastAsia="Microsoft YaHei"/>
          <w:color w:val="55697D"/>
          <w:sz w:val="18"/>
        </w:rPr>
        <w:t>期刊：Water</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DOI：10.3390/w18151917</w:t>
      </w:r>
    </w:p>
    <w:p>
      <w:r>
        <w:rPr>
          <w:rFonts w:ascii="Microsoft YaHei" w:hAnsi="Microsoft YaHei" w:eastAsia="Microsoft YaHei"/>
          <w:b/>
          <w:sz w:val="19"/>
        </w:rPr>
        <w:t>关键词：phytoplankton</w:t>
      </w:r>
    </w:p>
    <w:p>
      <w:r>
        <w:rPr>
          <w:rFonts w:ascii="Microsoft YaHei" w:hAnsi="Microsoft YaHei" w:eastAsia="Microsoft YaHei"/>
          <w:sz w:val="17"/>
        </w:rPr>
        <w:t>摘要：长期叶绿素-a (Chl-a) 物候和反复出现的高叶绿素-a 条件为识别沿海海湾空间上持续的水质问题提供了重要证据。然而，对于亚热带多海湾海岸线，在采样单元规模上对高叶绿素a复发的季节性归一化筛查仍然有限，其中区域季风强迫、水动力滞留、河流输入、水产养殖和沿海发展共同影响浮游植物的变异性。本研究根据 2003 年至 2024 年哥白尼海洋的海洋颜色记录，为中国福建的七个沿海海湾开发了一个可重复的约 4 公里采样单元框架。得出每月几何平均气候、物候指标、基于 P90 的高 Chl-a 超标频率、监测优先级和探索性机器学习诊断。 海湾尺度物候表现出明显的分化：三沙湾和兴化湾呈现冬季或年末叶绿素a增强现象，厦门湾在夏季达到峰值，泉州湾在初秋达到峰值。四种季节物候状况进一步揭示了细胞尺度的异质性，其中 C2 代表冬季增强的高振幅周期，C3 识别最常见的季节性归一化高 Chl-a 超标的细胞。高优先级和中优先级小区主要集中在三沙湾和兴化湾，而东山湾和泉州湾仅出现局部优先级小区。探索性诊断表明，距湾口的距离是反复发生高叶绿素 a 敏感性的最重要相关因素，表明海湾尺度交换和保留梯度的作用。 该框架将长期海洋颜色档案转换为空间明确的物候和异常筛选证据，以支持有针对性的沿海水质监测和生态系统管理。</w:t>
      </w:r>
    </w:p>
    <w:p>
      <w:r>
        <w:rPr>
          <w:rFonts w:ascii="Microsoft YaHei" w:hAnsi="Microsoft YaHei" w:eastAsia="Microsoft YaHei"/>
          <w:color w:val="0563C1"/>
          <w:sz w:val="18"/>
        </w:rPr>
        <w:t>链接：https://doi.org/10.3390/w18151917</w:t>
      </w:r>
    </w:p>
    <w:p>
      <w:pPr>
        <w:pStyle w:val="Heading3"/>
      </w:pPr>
      <w:r>
        <w:rPr>
          <w:rFonts w:ascii="Microsoft YaHei" w:hAnsi="Microsoft YaHei" w:eastAsia="Microsoft YaHei"/>
          <w:b/>
        </w:rPr>
        <w:t>2. Sea surface salinity downscaling using deep generative diffusion models</w:t>
      </w:r>
    </w:p>
    <w:p>
      <w:r>
        <w:rPr>
          <w:rFonts w:ascii="Microsoft YaHei" w:hAnsi="Microsoft YaHei" w:eastAsia="Microsoft YaHei"/>
          <w:color w:val="55697D"/>
          <w:sz w:val="18"/>
        </w:rPr>
        <w:t>作者：Enzo Forestier; Luther Ollier; Roy El Hourany; Jacqueline Boutin; Carlos Mejia; Sylvie Thiria</w:t>
      </w:r>
    </w:p>
    <w:p>
      <w:r>
        <w:rPr>
          <w:rFonts w:ascii="Microsoft YaHei" w:hAnsi="Microsoft YaHei" w:eastAsia="Microsoft YaHei"/>
          <w:color w:val="55697D"/>
          <w:sz w:val="18"/>
        </w:rPr>
        <w:t>期刊：Ocean Science</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DOI：10.5194/os-22-2357-2026</w:t>
      </w:r>
    </w:p>
    <w:p>
      <w:r>
        <w:rPr>
          <w:rFonts w:ascii="Microsoft YaHei" w:hAnsi="Microsoft YaHei" w:eastAsia="Microsoft YaHei"/>
          <w:b/>
          <w:sz w:val="19"/>
        </w:rPr>
        <w:t>关键词：ocean biogeochemistry</w:t>
      </w:r>
    </w:p>
    <w:p>
      <w:r>
        <w:rPr>
          <w:rFonts w:ascii="Microsoft YaHei" w:hAnsi="Microsoft YaHei" w:eastAsia="Microsoft YaHei"/>
          <w:sz w:val="17"/>
        </w:rPr>
        <w:t>摘要：高分辨率卫星观测对于研究精细海洋过程至关重要。然而，目前的卫星海面盐度（SSS）产品仍然过于粗糙，无法解析许多精细尺度的结构。我们在基于 GLORYS 再分析场的受控概念验证实验中研究了去噪扩散模型作为 SSS 降尺度的生成框架。多通道扩散先验在 1/12° SSS、海面温度 (SST) 和海面高度 (SSH) 场上进行训练，然后在推理时间对综合降级的粗略 SSS 观测 (1/3°) 以及高分辨率 (1/12°) 辅助 SST 和/或 SSH 进行调节。调节是通过伪逆指导来执行的，它将生成的样本引导至与粗略观察兼容的状态，同时保持在学习的 GLORYS 一致的多元分布内。 我们还测试了旨在增加推理过程中对比度的梯度增强程序。墨西哥湾流地区的实验比较了仅以 SST、仅 SSH 和两个变量为条件的模型。 2020 年的验证使用均方根误差 (RMSE)、结构相似性 (SSIM)、梯度分布和时间傅里叶谱。在当前的 GLORYS 配置中，相对于单独的 SSH，SST 调节大大提高了准确性；与 RMSE/SSIM 下的强卷积基线相比，SST 和 SSH 的结合产生了进一步的收益，同时还提供了合理的重建集合。梯度增强采样器增加了结构对比度，但可能有放大部分可变性的风险，说明了像素精度和结构真实性之间的权衡。 总体而言，结果支持引导扩散作为 SSS 降尺度和不确定性感知重建的有前景的框架，同时表明，转移到真正的卫星 SSS 产品将需要产品感知观测操作员、不确定性加权和独立的现场验证。</w:t>
      </w:r>
    </w:p>
    <w:p>
      <w:r>
        <w:rPr>
          <w:rFonts w:ascii="Microsoft YaHei" w:hAnsi="Microsoft YaHei" w:eastAsia="Microsoft YaHei"/>
          <w:color w:val="0563C1"/>
          <w:sz w:val="18"/>
        </w:rPr>
        <w:t>链接：https://doi.org/10.5194/os-22-2357-2026</w:t>
      </w:r>
    </w:p>
    <w:p>
      <w:pPr>
        <w:pStyle w:val="Heading3"/>
      </w:pPr>
      <w:r>
        <w:rPr>
          <w:rFonts w:ascii="Microsoft YaHei" w:hAnsi="Microsoft YaHei" w:eastAsia="Microsoft YaHei"/>
          <w:b/>
        </w:rPr>
        <w:t>3. Final closure of the eastern Mongol-Okhotsk Ocean: First evidence from Barrovian metamorphism and multistage deformation in the Luomahu Group, NE China</w:t>
      </w:r>
    </w:p>
    <w:p>
      <w:r>
        <w:rPr>
          <w:rFonts w:ascii="Microsoft YaHei" w:hAnsi="Microsoft YaHei" w:eastAsia="Microsoft YaHei"/>
          <w:color w:val="55697D"/>
          <w:sz w:val="18"/>
        </w:rPr>
        <w:t>作者：Zhiwei Song; Christoph von Hagke; Franz Neubauer; Chenyue Liang; Guochun Zhao; Changqing Zheng; Yongjiang Liu; Xiaolei Sun; et al.</w:t>
      </w:r>
    </w:p>
    <w:p>
      <w:r>
        <w:rPr>
          <w:rFonts w:ascii="Microsoft YaHei" w:hAnsi="Microsoft YaHei" w:eastAsia="Microsoft YaHei"/>
          <w:color w:val="55697D"/>
          <w:sz w:val="18"/>
        </w:rPr>
        <w:t>期刊：Geological Society of America Bulletin</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DOI：10.1130/b38866.1</w:t>
      </w:r>
    </w:p>
    <w:p>
      <w:r>
        <w:rPr>
          <w:rFonts w:ascii="Microsoft YaHei" w:hAnsi="Microsoft YaHei" w:eastAsia="Microsoft YaHei"/>
          <w:b/>
          <w:sz w:val="19"/>
        </w:rPr>
        <w:t>关键词：backscattering</w:t>
      </w:r>
    </w:p>
    <w:p>
      <w:r>
        <w:rPr>
          <w:rFonts w:ascii="Microsoft YaHei" w:hAnsi="Microsoft YaHei" w:eastAsia="Microsoft YaHei"/>
          <w:sz w:val="17"/>
        </w:rPr>
        <w:t>摘要：蒙古-鄂霍茨克缝合带的形成代表了构造东北亚现代构造框架的末期造山事件。然而，蒙古-鄂霍次克洋东部最终关闭的时间和机制仍存在争议。基于微观结构、岩石学、矿物化学、全岩地球化学、相平衡模拟、石英电子背散射衍射组构和锆石U-Pb年代学等综合野外调查和分析，我们首次记录了中国东北骆马湖群内完整的中晚侏罗世巴罗夫期变质序列，为东蒙古-鄂霍次克洋最终闭合的时间和地球动力学过程提供了关键约束。 我们的研究表明，骆马湖群是由早中生代岩浆岩侵入的下泥盆统至下石炭统变沉积地层组成的构造拼贴，随后受到中侏罗世至最早白垩纪同碰撞岩浆作用、变质作用和变形的影响。顺行巴罗夫变质作用保留了由两个变形阶段叠加的顺时针压力-温度-时间变形路径。相平衡模型表明，在石榴石-十字石云母片岩和石榴石-硅线石片麻岩中，逐渐埋藏到角闪岩相峰值条件，然后逆行冷却。两个变形阶段都与峰值变质阶段相关。 D1 变形的特点是从顶部到 SW/SSW 的逆冲。 D2 变形的特征是沿 NNE-SSW 走向剪切带的左行走滑剪切。 锆石 U-Pb 测年将峰值变质年龄限制在大约 100 年前。 165−145 Ma，两个变形阶段发生在大约。 162−150 Ma 和约。分别为 150−144 Ma。我们将巴罗维阶变质作用和相关的 D1 变形解释为东蒙古-鄂霍茨克洋闭合期间地壳增厚的直接证据。随后的 D2 变形归因于古太平洋板块 NNW 方向的低角度俯冲的远场效应，而持续的海洋闭合的潜在贡献仍然是合理的。结合区域数据，我们整合了我们的结果，建立了一个涉及板片断裂的自西向东多阶段闭合模型，该模型最终证明了东部蒙古-鄂霍次克洋最终在侏罗纪至白垩纪边界闭合。</w:t>
      </w:r>
    </w:p>
    <w:p>
      <w:r>
        <w:rPr>
          <w:rFonts w:ascii="Microsoft YaHei" w:hAnsi="Microsoft YaHei" w:eastAsia="Microsoft YaHei"/>
          <w:color w:val="0563C1"/>
          <w:sz w:val="18"/>
        </w:rPr>
        <w:t>链接：https://doi.org/10.1130/b38866.1</w:t>
      </w:r>
    </w:p>
    <w:p>
      <w:pPr>
        <w:pStyle w:val="Heading2"/>
      </w:pPr>
      <w:r>
        <w:t>其他相关期刊：按主题相关性补充</w:t>
      </w:r>
    </w:p>
    <w:p>
      <w:pPr>
        <w:pStyle w:val="Heading3"/>
      </w:pPr>
      <w:r>
        <w:rPr>
          <w:rFonts w:ascii="Microsoft YaHei" w:hAnsi="Microsoft YaHei" w:eastAsia="Microsoft YaHei"/>
          <w:b/>
        </w:rPr>
        <w:t>4. Record-Breaking Marine Heatwave Event in the Yellow Sea During Summer 2024 and Its Underlying Mechanisms</w:t>
      </w:r>
    </w:p>
    <w:p>
      <w:r>
        <w:rPr>
          <w:rFonts w:ascii="Microsoft YaHei" w:hAnsi="Microsoft YaHei" w:eastAsia="Microsoft YaHei"/>
          <w:color w:val="55697D"/>
          <w:sz w:val="18"/>
        </w:rPr>
        <w:t>作者：Aimei Wang; Dong Wang; Jingxin Luo; Wenshan Li</w:t>
      </w:r>
    </w:p>
    <w:p>
      <w:r>
        <w:rPr>
          <w:rFonts w:ascii="Microsoft YaHei" w:hAnsi="Microsoft YaHei" w:eastAsia="Microsoft YaHei"/>
          <w:color w:val="55697D"/>
          <w:sz w:val="18"/>
        </w:rPr>
        <w:t>期刊：Journal of Marine Science and Engineering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DOI：10.3390/jmse14151438</w:t>
      </w:r>
    </w:p>
    <w:p>
      <w:r>
        <w:rPr>
          <w:rFonts w:ascii="Microsoft YaHei" w:hAnsi="Microsoft YaHei" w:eastAsia="Microsoft YaHei"/>
          <w:b/>
          <w:sz w:val="19"/>
        </w:rPr>
        <w:t>关键词：marine heatwaves</w:t>
      </w:r>
    </w:p>
    <w:p>
      <w:r>
        <w:rPr>
          <w:rFonts w:ascii="Microsoft YaHei" w:hAnsi="Microsoft YaHei" w:eastAsia="Microsoft YaHei"/>
          <w:sz w:val="17"/>
        </w:rPr>
        <w:t>摘要：海洋热浪（MHW）是海洋中持续的极端温暖事件，对海洋生态系统、渔业、水产养殖和近海能源基础设施构成重大威胁。 2024年，黄海经历了累积强度有记录以来最强烈的重水天气，海面温度（SST）异常超过5°C，异常持续时间达118天。本研究利用ERA5大气再分析和GLORYS12V1海洋再分析系统，系统研究了该事件的特征、驱动机制和极端情况。混合层热收支分析表明，短波辐射增强是气候变暖的主要原因，与副热带高压西伸北移密切相关。 在MHW衰减期间，海面冷却主要是潜热通量增强，与台风和冷空气活动密切相关。进一步分析将正海温异常与北大西洋和巴伦支海变暖联系起来，后者引发了欧亚遥相关波列。这些结果凸显了跨流域气候连通性在推动区域海洋极端温度方面的重要性。</w:t>
      </w:r>
    </w:p>
    <w:p>
      <w:r>
        <w:rPr>
          <w:rFonts w:ascii="Microsoft YaHei" w:hAnsi="Microsoft YaHei" w:eastAsia="Microsoft YaHei"/>
          <w:color w:val="0563C1"/>
          <w:sz w:val="18"/>
        </w:rPr>
        <w:t>链接：https://doi.org/10.3390/jmse14151438</w:t>
      </w:r>
    </w:p>
    <w:p>
      <w:pPr>
        <w:pStyle w:val="Heading3"/>
      </w:pPr>
      <w:r>
        <w:rPr>
          <w:rFonts w:ascii="Microsoft YaHei" w:hAnsi="Microsoft YaHei" w:eastAsia="Microsoft YaHei"/>
          <w:b/>
        </w:rPr>
        <w:t>5. Observations on phytoplankton bloom dynamics during winter monsoon in Arabian Sea: a comparative analysis using Oceansat-3 OCM and MODIS Aqua Satellite data</w:t>
      </w:r>
    </w:p>
    <w:p>
      <w:r>
        <w:rPr>
          <w:rFonts w:ascii="Microsoft YaHei" w:hAnsi="Microsoft YaHei" w:eastAsia="Microsoft YaHei"/>
          <w:color w:val="55697D"/>
          <w:sz w:val="18"/>
        </w:rPr>
        <w:t>作者：N. A. Anisha; Ranjit Kumar Sarangi; M. P. Prabhakaran</w:t>
      </w:r>
    </w:p>
    <w:p>
      <w:r>
        <w:rPr>
          <w:rFonts w:ascii="Microsoft YaHei" w:hAnsi="Microsoft YaHei" w:eastAsia="Microsoft YaHei"/>
          <w:color w:val="55697D"/>
          <w:sz w:val="18"/>
        </w:rPr>
        <w:t>期刊：Current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DOI：10.18520/cs/v131/i1/77-84</w:t>
      </w:r>
    </w:p>
    <w:p>
      <w:r>
        <w:rPr>
          <w:rFonts w:ascii="Microsoft YaHei" w:hAnsi="Microsoft YaHei" w:eastAsia="Microsoft YaHei"/>
          <w:b/>
          <w:sz w:val="19"/>
        </w:rPr>
        <w:t>关键词：phytoplankton</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链接：https://doi.org/10.18520/cs/v131/i1/77-84</w:t>
      </w:r>
    </w:p>
    <w:p>
      <w:pPr>
        <w:pStyle w:val="Heading3"/>
      </w:pPr>
      <w:r>
        <w:rPr>
          <w:rFonts w:ascii="Microsoft YaHei" w:hAnsi="Microsoft YaHei" w:eastAsia="Microsoft YaHei"/>
          <w:b/>
        </w:rPr>
        <w:t>6. Integrating Remote Sensing, Archaeological Survey and Geophysical Prospections for the Enhancement of Roman Doclea, Montenegro</w:t>
      </w:r>
    </w:p>
    <w:p>
      <w:r>
        <w:rPr>
          <w:rFonts w:ascii="Microsoft YaHei" w:hAnsi="Microsoft YaHei" w:eastAsia="Microsoft YaHei"/>
          <w:color w:val="55697D"/>
          <w:sz w:val="18"/>
        </w:rPr>
        <w:t>作者：Tatjana Koprivica; Lucia Alberti; Marilena Cozzolino; Bruna Di Palma; Vincenzo Gentile; Pasquale Merola</w:t>
      </w:r>
    </w:p>
    <w:p>
      <w:r>
        <w:rPr>
          <w:rFonts w:ascii="Microsoft YaHei" w:hAnsi="Microsoft YaHei" w:eastAsia="Microsoft YaHei"/>
          <w:color w:val="55697D"/>
          <w:sz w:val="18"/>
        </w:rPr>
        <w:t>期刊：Archaeological Prospection</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DOI：10.1002/arp.70061</w:t>
      </w:r>
    </w:p>
    <w:p>
      <w:r>
        <w:rPr>
          <w:rFonts w:ascii="Microsoft YaHei" w:hAnsi="Microsoft YaHei" w:eastAsia="Microsoft YaHei"/>
          <w:b/>
          <w:sz w:val="19"/>
        </w:rPr>
        <w:t>关键词：ocean colour</w:t>
      </w:r>
    </w:p>
    <w:p>
      <w:r>
        <w:rPr>
          <w:rFonts w:ascii="Microsoft YaHei" w:hAnsi="Microsoft YaHei" w:eastAsia="Microsoft YaHei"/>
          <w:sz w:val="17"/>
        </w:rPr>
        <w:t>摘要：罗马城市多克莱亚是黑山的重要考古遗址，因其令人印象深刻的遗迹及其在欧洲和地中海历史中的国家文化认同中的作用而受到重视。多克里亚是罗马达尔马提亚省的第二大城市，该市建于公元一世纪，以伊利里亚部落多克里亚命名。自 2017 年以来，一个多学科研究项目一直在协调城市及其领土的研究和加强。该项目是意大利国家研究委员会、黑山科学部和文化部之间达成的国际协议的成果。 项目团队采用了多学科方法，通过应用不同的技术和方法（卫星、航空和无人机图像分析以及探地雷达地球物理勘探），并结合历史方法（档案研究、铭文和古代文献回顾）、考古调查和建筑重建。意大利-黑山团队不仅致力于更好地了解这座城市，而且致力于建设一个可信的增强项目，能够提高当地社区和游客对该遗址的了解和“使用”。事实上，收集到的数据已完全整合到一个创新的增强项目中，这为新的发展战略留下了空间。 该研究考虑了可见的废墟以及通过地球物理调查和遥感假设的废墟，通过开辟新的挖掘区域来预测我们知识的未来进步。</w:t>
      </w:r>
    </w:p>
    <w:p>
      <w:r>
        <w:rPr>
          <w:rFonts w:ascii="Microsoft YaHei" w:hAnsi="Microsoft YaHei" w:eastAsia="Microsoft YaHei"/>
          <w:color w:val="0563C1"/>
          <w:sz w:val="18"/>
        </w:rPr>
        <w:t>链接：https://doi.org/10.1002/arp.70061</w:t>
      </w:r>
    </w:p>
    <w:p>
      <w:pPr>
        <w:pStyle w:val="Heading3"/>
      </w:pPr>
      <w:r>
        <w:rPr>
          <w:rFonts w:ascii="Microsoft YaHei" w:hAnsi="Microsoft YaHei" w:eastAsia="Microsoft YaHei"/>
          <w:b/>
        </w:rPr>
        <w:t>7. Monitoring Biodiversity and Climate Change Impacts in Rohingya Settlement Areas of South-Eastern Coastal Bangladesh using Multi Indexing Remote Sensing Approach</w:t>
      </w:r>
    </w:p>
    <w:p>
      <w:r>
        <w:rPr>
          <w:rFonts w:ascii="Microsoft YaHei" w:hAnsi="Microsoft YaHei" w:eastAsia="Microsoft YaHei"/>
          <w:color w:val="55697D"/>
          <w:sz w:val="18"/>
        </w:rPr>
        <w:t>作者：Nurul Hamid; Md. Redwanur Rahman</w:t>
      </w:r>
    </w:p>
    <w:p>
      <w:r>
        <w:rPr>
          <w:rFonts w:ascii="Microsoft YaHei" w:hAnsi="Microsoft YaHei" w:eastAsia="Microsoft YaHei"/>
          <w:color w:val="55697D"/>
          <w:sz w:val="18"/>
        </w:rPr>
        <w:t>期刊：International Journal of Modern Science and Research Technology</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DOI：10.67317/ijmsrt26jul100</w:t>
      </w:r>
    </w:p>
    <w:p>
      <w:r>
        <w:rPr>
          <w:rFonts w:ascii="Microsoft YaHei" w:hAnsi="Microsoft YaHei" w:eastAsia="Microsoft YaHei"/>
          <w:b/>
          <w:sz w:val="19"/>
        </w:rPr>
        <w:t>关键词：ocean colour</w:t>
      </w:r>
    </w:p>
    <w:p>
      <w:r>
        <w:rPr>
          <w:rFonts w:ascii="Microsoft YaHei" w:hAnsi="Microsoft YaHei" w:eastAsia="Microsoft YaHei"/>
          <w:sz w:val="17"/>
        </w:rPr>
        <w:t>摘要：监测受难民影响地区的生物多样性和气候引起的环境变化对于了解生态退化和制定可持续管理措施至关重要。孟加拉国南部沿海的罗辛亚定居点地区是生态最脆弱的地区之一，自 2017 年大规模流离失所开始以来，这里的土地改造、植被去除和温度不规则现象加速加剧。本研究旨在通过多指数遥感方法衡量生物多样性丧失并评估气候变化对地貌的影响。 2015 年至 2025 年 Landsat-8、Landsat-9 和 Sentinel-2 的卫星图像在 ArcGIS 中进行处理，以计算 NDVI、EVI、EHI、TDVI 和 LST 值。 进行了时空分析，以描绘植被动态、生态系统健康、栖息地退化和地表温度波动。统计分析表明，NDVI 与地表温度（LST）之间存在强且显着的负相关关系（r</w:t>
      </w:r>
    </w:p>
    <w:p>
      <w:r>
        <w:rPr>
          <w:rFonts w:ascii="Microsoft YaHei" w:hAnsi="Microsoft YaHei" w:eastAsia="Microsoft YaHei"/>
          <w:color w:val="0563C1"/>
          <w:sz w:val="18"/>
        </w:rPr>
        <w:t>链接：https://doi.org/10.67317/ijmsrt26jul100</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